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84" w:rsidRPr="00004064" w:rsidRDefault="00611984" w:rsidP="0061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6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11984" w:rsidRPr="00004064" w:rsidRDefault="00611984" w:rsidP="0061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64">
        <w:rPr>
          <w:rFonts w:ascii="Times New Roman" w:hAnsi="Times New Roman" w:cs="Times New Roman"/>
          <w:b/>
          <w:sz w:val="28"/>
          <w:szCs w:val="28"/>
        </w:rPr>
        <w:t xml:space="preserve">НОВОДЖЕРЕЛИЕВСКРОГО СЕЛЬСКОГО ПОСЕЛЕНИЯ </w:t>
      </w:r>
    </w:p>
    <w:p w:rsidR="00611984" w:rsidRPr="00004064" w:rsidRDefault="00611984" w:rsidP="0061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611984" w:rsidRPr="00004064" w:rsidRDefault="00611984" w:rsidP="0061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984" w:rsidRPr="00004064" w:rsidRDefault="00611984" w:rsidP="006119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040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1984" w:rsidRPr="00004064" w:rsidRDefault="00F32FC0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1984" w:rsidRPr="000040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24.02.2014</w:t>
      </w:r>
      <w:r w:rsidR="00611984" w:rsidRPr="000040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1984" w:rsidRPr="00004064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611984" w:rsidRPr="00004064" w:rsidRDefault="00611984" w:rsidP="006119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064">
        <w:rPr>
          <w:rFonts w:ascii="Times New Roman" w:hAnsi="Times New Roman" w:cs="Times New Roman"/>
        </w:rPr>
        <w:t>ст-ца</w:t>
      </w:r>
      <w:proofErr w:type="spellEnd"/>
      <w:r w:rsidRPr="00004064">
        <w:rPr>
          <w:rFonts w:ascii="Times New Roman" w:hAnsi="Times New Roman" w:cs="Times New Roman"/>
        </w:rPr>
        <w:t xml:space="preserve"> Новоджерелиевская</w:t>
      </w:r>
    </w:p>
    <w:p w:rsidR="00611984" w:rsidRPr="00004064" w:rsidRDefault="00611984" w:rsidP="006119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1984" w:rsidRPr="00004064" w:rsidRDefault="00611984" w:rsidP="00611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064" w:rsidRDefault="00611984" w:rsidP="000040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406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ведомственной целевой программы </w:t>
      </w:r>
      <w:r w:rsidR="00004064" w:rsidRPr="000040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6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04064" w:rsidRPr="00004064">
        <w:rPr>
          <w:rFonts w:ascii="Times New Roman" w:hAnsi="Times New Roman" w:cs="Times New Roman"/>
          <w:color w:val="auto"/>
          <w:sz w:val="28"/>
          <w:szCs w:val="28"/>
        </w:rPr>
        <w:t>Развитие культуры в Новоджерелиевском сельском поселении Брюховецкого района</w:t>
      </w:r>
      <w:r w:rsidR="0000406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11984" w:rsidRPr="00004064" w:rsidRDefault="00004064" w:rsidP="0000406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64">
        <w:rPr>
          <w:rFonts w:ascii="Times New Roman" w:hAnsi="Times New Roman" w:cs="Times New Roman"/>
          <w:color w:val="auto"/>
          <w:sz w:val="28"/>
          <w:szCs w:val="28"/>
        </w:rPr>
        <w:t>на 2014 год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1984" w:rsidRPr="00004064" w:rsidRDefault="00611984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611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ab/>
        <w:t>В соответствии с Федеральным  Законом  от 06 октября 2003 года</w:t>
      </w:r>
      <w:r w:rsidRPr="00004064">
        <w:rPr>
          <w:rFonts w:ascii="Times New Roman" w:hAnsi="Times New Roman" w:cs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hyperlink r:id="rId5" w:history="1">
        <w:r w:rsidRPr="0000406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Постановлением  главы администрации (губернатора) Краснодарского края от 14 октября 2013 г. </w:t>
        </w:r>
        <w:r w:rsidR="00D4598F" w:rsidRPr="0000406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00406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1175</w:t>
        </w:r>
        <w:r w:rsidR="0000406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«</w:t>
        </w:r>
        <w:r w:rsidRPr="0000406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Об утверждении государственной программы Краснодарского края "Развитие культуры</w:t>
        </w:r>
      </w:hyperlink>
      <w:r w:rsidR="00004064" w:rsidRPr="00004064">
        <w:rPr>
          <w:rFonts w:ascii="Times New Roman" w:hAnsi="Times New Roman" w:cs="Times New Roman"/>
          <w:sz w:val="28"/>
          <w:szCs w:val="28"/>
        </w:rPr>
        <w:t>»</w:t>
      </w:r>
      <w:r w:rsidRPr="00004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064">
        <w:rPr>
          <w:rFonts w:ascii="Times New Roman" w:hAnsi="Times New Roman" w:cs="Times New Roman"/>
          <w:sz w:val="28"/>
          <w:szCs w:val="28"/>
        </w:rPr>
        <w:t xml:space="preserve">на 2014 год, </w:t>
      </w:r>
      <w:proofErr w:type="spellStart"/>
      <w:proofErr w:type="gramStart"/>
      <w:r w:rsidRPr="000040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040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040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040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11984" w:rsidRPr="00004064" w:rsidRDefault="00611984" w:rsidP="0000406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4064">
        <w:rPr>
          <w:rFonts w:ascii="Times New Roman" w:hAnsi="Times New Roman" w:cs="Times New Roman"/>
          <w:b w:val="0"/>
          <w:color w:val="auto"/>
          <w:sz w:val="28"/>
          <w:szCs w:val="28"/>
        </w:rPr>
        <w:t>1. Утвердить ведомственную целевую программу «</w:t>
      </w:r>
      <w:r w:rsidR="00004064" w:rsidRPr="00004064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Развитие культуры в Новоджерелиевском сельском поселении Брюховецкого района</w:t>
      </w:r>
      <w:r w:rsidR="00004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004064" w:rsidRPr="000040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2014 год</w:t>
      </w:r>
      <w:r w:rsidR="000040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64">
        <w:rPr>
          <w:rFonts w:ascii="Times New Roman" w:hAnsi="Times New Roman" w:cs="Times New Roman"/>
          <w:b w:val="0"/>
          <w:color w:val="auto"/>
          <w:sz w:val="28"/>
          <w:szCs w:val="28"/>
        </w:rPr>
        <w:t>(прилагается).</w:t>
      </w:r>
    </w:p>
    <w:p w:rsidR="00611984" w:rsidRPr="00004064" w:rsidRDefault="00611984" w:rsidP="0000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4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0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1984" w:rsidRPr="00004064" w:rsidRDefault="00611984" w:rsidP="00004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3. Постановление  вступает в силу с</w:t>
      </w:r>
      <w:r w:rsidR="00D4598F" w:rsidRPr="00004064">
        <w:rPr>
          <w:rFonts w:ascii="Times New Roman" w:hAnsi="Times New Roman" w:cs="Times New Roman"/>
          <w:sz w:val="28"/>
          <w:szCs w:val="28"/>
        </w:rPr>
        <w:t xml:space="preserve">о дня его подписания </w:t>
      </w:r>
      <w:r w:rsidR="00004064" w:rsidRPr="00004064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Pr="00004064">
        <w:rPr>
          <w:rFonts w:ascii="Times New Roman" w:hAnsi="Times New Roman" w:cs="Times New Roman"/>
          <w:sz w:val="28"/>
          <w:szCs w:val="28"/>
        </w:rPr>
        <w:t xml:space="preserve"> 01 января 2014 года.</w:t>
      </w:r>
    </w:p>
    <w:p w:rsidR="00611984" w:rsidRPr="00004064" w:rsidRDefault="00611984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611984" w:rsidRPr="00004064" w:rsidRDefault="00611984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11984" w:rsidRPr="00004064" w:rsidRDefault="00611984" w:rsidP="0061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О.В.Ткаченко</w:t>
      </w: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11984" w:rsidRPr="00004064" w:rsidRDefault="00611984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378BD" w:rsidRPr="00004064" w:rsidRDefault="00B378BD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32A3" w:rsidRPr="00004064" w:rsidRDefault="00B378BD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32A3" w:rsidRPr="00004064" w:rsidRDefault="00B378BD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ED32A3" w:rsidRPr="00004064" w:rsidRDefault="00B378BD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378BD" w:rsidRPr="00004064" w:rsidRDefault="00B378BD" w:rsidP="00ED32A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378BD" w:rsidRPr="00004064" w:rsidRDefault="00F32FC0" w:rsidP="00ED32A3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78BD" w:rsidRPr="000040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24.02.2014 </w:t>
      </w:r>
      <w:r w:rsidR="00B378BD" w:rsidRPr="000040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378BD" w:rsidRPr="00004064" w:rsidRDefault="00B378BD" w:rsidP="00ED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A3" w:rsidRPr="00004064" w:rsidRDefault="00ED32A3" w:rsidP="00ED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EF5" w:rsidRPr="00004064" w:rsidRDefault="00E96EF5" w:rsidP="00ED32A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4064">
        <w:rPr>
          <w:rFonts w:ascii="Times New Roman" w:hAnsi="Times New Roman" w:cs="Times New Roman"/>
          <w:color w:val="auto"/>
          <w:sz w:val="28"/>
          <w:szCs w:val="28"/>
        </w:rPr>
        <w:t>Ведомственная целевая программа</w:t>
      </w:r>
      <w:r w:rsidRPr="00004064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406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04064">
        <w:rPr>
          <w:rFonts w:ascii="Times New Roman" w:hAnsi="Times New Roman" w:cs="Times New Roman"/>
          <w:color w:val="auto"/>
          <w:sz w:val="28"/>
          <w:szCs w:val="28"/>
        </w:rPr>
        <w:t>Развитие культуры в Новоджерелиевском сельском поселении</w:t>
      </w:r>
    </w:p>
    <w:p w:rsidR="00E96EF5" w:rsidRPr="00004064" w:rsidRDefault="00E96EF5" w:rsidP="00ED32A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4064">
        <w:rPr>
          <w:rFonts w:ascii="Times New Roman" w:hAnsi="Times New Roman" w:cs="Times New Roman"/>
          <w:color w:val="auto"/>
          <w:sz w:val="28"/>
          <w:szCs w:val="28"/>
        </w:rPr>
        <w:t>Брюховецкого района</w:t>
      </w:r>
      <w:r w:rsidR="0000406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04064">
        <w:rPr>
          <w:rFonts w:ascii="Times New Roman" w:hAnsi="Times New Roman" w:cs="Times New Roman"/>
          <w:color w:val="auto"/>
          <w:sz w:val="28"/>
          <w:szCs w:val="28"/>
        </w:rPr>
        <w:t xml:space="preserve"> на 2014 год</w:t>
      </w:r>
      <w:r w:rsidRPr="00004064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378BD" w:rsidRPr="00004064" w:rsidRDefault="00B378BD" w:rsidP="00ED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EF5" w:rsidRPr="00004064" w:rsidRDefault="00E96EF5" w:rsidP="00ED32A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406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004064">
        <w:rPr>
          <w:rFonts w:ascii="Times New Roman" w:hAnsi="Times New Roman" w:cs="Times New Roman"/>
          <w:color w:val="auto"/>
          <w:sz w:val="28"/>
          <w:szCs w:val="28"/>
        </w:rPr>
        <w:br/>
        <w:t>ведомственной целевой программы</w:t>
      </w:r>
    </w:p>
    <w:p w:rsidR="00B378BD" w:rsidRPr="00004064" w:rsidRDefault="00004064" w:rsidP="00ED32A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96EF5" w:rsidRPr="00004064">
        <w:rPr>
          <w:rFonts w:ascii="Times New Roman" w:hAnsi="Times New Roman" w:cs="Times New Roman"/>
          <w:color w:val="auto"/>
          <w:sz w:val="28"/>
          <w:szCs w:val="28"/>
        </w:rPr>
        <w:t>Развитие культуры в Новоджерелиевском сельском поселении Брюховецкого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96EF5" w:rsidRPr="00004064">
        <w:rPr>
          <w:rFonts w:ascii="Times New Roman" w:hAnsi="Times New Roman" w:cs="Times New Roman"/>
          <w:color w:val="auto"/>
          <w:sz w:val="28"/>
          <w:szCs w:val="28"/>
        </w:rPr>
        <w:t xml:space="preserve"> на 2014 год</w:t>
      </w:r>
    </w:p>
    <w:p w:rsidR="00B378BD" w:rsidRPr="00004064" w:rsidRDefault="00B378BD" w:rsidP="00ED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BD" w:rsidRPr="00004064" w:rsidRDefault="00B378BD" w:rsidP="00ED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323"/>
      </w:tblGrid>
      <w:tr w:rsidR="00B378BD" w:rsidRPr="00004064" w:rsidTr="00B378BD">
        <w:tc>
          <w:tcPr>
            <w:tcW w:w="4248" w:type="dxa"/>
            <w:hideMark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FC9" w:rsidRPr="00004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23" w:type="dxa"/>
          </w:tcPr>
          <w:p w:rsidR="00B378BD" w:rsidRPr="00004064" w:rsidRDefault="00E96EF5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0040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Новоджерелиевском сельском поселении Брюховецкого района</w:t>
            </w:r>
            <w:r w:rsidR="0000406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378BD"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 на 2014 год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BD" w:rsidRPr="00004064" w:rsidTr="00B378BD">
        <w:tc>
          <w:tcPr>
            <w:tcW w:w="4248" w:type="dxa"/>
            <w:hideMark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                     </w:t>
            </w:r>
            <w:r w:rsidR="00513FC9" w:rsidRPr="00004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23" w:type="dxa"/>
          </w:tcPr>
          <w:p w:rsidR="00B378BD" w:rsidRPr="00004064" w:rsidRDefault="0035470C" w:rsidP="00ED3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hyperlink r:id="rId6" w:history="1">
              <w:r w:rsidR="00E96EF5" w:rsidRPr="000040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Постановление главы администрации (губернатора) Краснодарского края</w:t>
              </w:r>
              <w:r w:rsidR="00E96EF5" w:rsidRPr="000040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br/>
                <w:t xml:space="preserve">от 14 октября 2013 г. </w:t>
              </w:r>
              <w:r w:rsidR="00D4598F" w:rsidRPr="000040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№ </w:t>
              </w:r>
              <w:r w:rsidR="00E96EF5" w:rsidRPr="000040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 1175</w:t>
              </w:r>
              <w:r w:rsidR="00E96EF5" w:rsidRPr="000040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br/>
              </w:r>
              <w:r w:rsidR="000040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«</w:t>
              </w:r>
              <w:r w:rsidR="00E96EF5" w:rsidRPr="000040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 xml:space="preserve">Об утверждении государственной программы Краснодарского края </w:t>
              </w:r>
              <w:r w:rsidR="000040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«</w:t>
              </w:r>
              <w:r w:rsidR="00E96EF5" w:rsidRPr="00004064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Развитие культуры</w:t>
              </w:r>
            </w:hyperlink>
            <w:r w:rsidR="00004064" w:rsidRPr="000040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6EF5" w:rsidRPr="00004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6EF5" w:rsidRPr="00004064">
              <w:rPr>
                <w:rFonts w:ascii="Times New Roman" w:hAnsi="Times New Roman" w:cs="Times New Roman"/>
                <w:sz w:val="28"/>
                <w:szCs w:val="28"/>
              </w:rPr>
              <w:t>на 2014 год</w:t>
            </w:r>
            <w:r w:rsidR="00E96EF5" w:rsidRPr="0000406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6EF5" w:rsidRPr="00004064" w:rsidTr="00B378BD">
        <w:tc>
          <w:tcPr>
            <w:tcW w:w="4248" w:type="dxa"/>
            <w:hideMark/>
          </w:tcPr>
          <w:p w:rsidR="00E96EF5" w:rsidRPr="00004064" w:rsidRDefault="00691FCF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323" w:type="dxa"/>
          </w:tcPr>
          <w:p w:rsidR="00E96EF5" w:rsidRPr="00004064" w:rsidRDefault="00E96EF5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004064">
              <w:rPr>
                <w:sz w:val="28"/>
                <w:szCs w:val="28"/>
              </w:rPr>
              <w:t>«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 сфере культуры в Новоджерелиевском сельском поселении Брюховецкого района» на 2014 год</w:t>
            </w:r>
          </w:p>
          <w:p w:rsidR="00E96EF5" w:rsidRPr="00004064" w:rsidRDefault="00E96EF5" w:rsidP="00ED32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78BD" w:rsidRPr="00004064" w:rsidTr="00B378BD">
        <w:tc>
          <w:tcPr>
            <w:tcW w:w="4248" w:type="dxa"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513FC9" w:rsidRPr="00004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513FC9" w:rsidRPr="00004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23" w:type="dxa"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 поселения.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B378BD" w:rsidRPr="00004064" w:rsidTr="00B378BD">
        <w:tc>
          <w:tcPr>
            <w:tcW w:w="4248" w:type="dxa"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BD" w:rsidRPr="00004064" w:rsidTr="00B378BD">
        <w:trPr>
          <w:trHeight w:val="1211"/>
        </w:trPr>
        <w:tc>
          <w:tcPr>
            <w:tcW w:w="4248" w:type="dxa"/>
            <w:hideMark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513FC9" w:rsidRPr="00004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23" w:type="dxa"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r w:rsidR="00D86C2F" w:rsidRPr="00004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рограмме: 492,1 тыс</w:t>
            </w:r>
            <w:proofErr w:type="gramStart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4786" w:rsidRPr="000040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естный бюджет – 93,7 тыс. руб.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4786" w:rsidRPr="000040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раевой бюджет – 398,4 тыс</w:t>
            </w:r>
            <w:proofErr w:type="gramStart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D86C2F" w:rsidRPr="00004064" w:rsidRDefault="00D86C2F" w:rsidP="00ED32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подпрограмме </w:t>
            </w:r>
            <w:r w:rsidRPr="00004064">
              <w:rPr>
                <w:sz w:val="28"/>
                <w:szCs w:val="28"/>
              </w:rPr>
              <w:t>«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в сфере культуры в Новоджерелиевском сельском поселении Брюховецкого района»</w:t>
            </w:r>
            <w:r w:rsidR="00004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на 2014 год составит 492,1. тыс. рублей, в том числе:</w:t>
            </w:r>
          </w:p>
          <w:p w:rsidR="00D86C2F" w:rsidRPr="00004064" w:rsidRDefault="00964786" w:rsidP="00ED32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6C2F" w:rsidRPr="00004064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="00D86C2F" w:rsidRPr="0000406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D86C2F" w:rsidRPr="00004064">
              <w:rPr>
                <w:rFonts w:ascii="Times New Roman" w:hAnsi="Times New Roman" w:cs="Times New Roman"/>
                <w:sz w:val="28"/>
                <w:szCs w:val="28"/>
              </w:rPr>
              <w:t>аевого бюджета - 398,4</w:t>
            </w:r>
            <w:r w:rsidR="00D86C2F" w:rsidRPr="00004064">
              <w:rPr>
                <w:sz w:val="28"/>
                <w:szCs w:val="28"/>
              </w:rPr>
              <w:t xml:space="preserve"> </w:t>
            </w:r>
            <w:r w:rsidR="00D86C2F"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</w:t>
            </w:r>
          </w:p>
          <w:p w:rsidR="00900F88" w:rsidRPr="00004064" w:rsidRDefault="00964786" w:rsidP="00ED32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6C2F"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="00D86C2F" w:rsidRPr="00004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86C2F" w:rsidRPr="0000406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  <w:r w:rsidR="00D86C2F" w:rsidRPr="00004064">
              <w:rPr>
                <w:sz w:val="28"/>
                <w:szCs w:val="28"/>
              </w:rPr>
              <w:t xml:space="preserve"> </w:t>
            </w:r>
            <w:r w:rsidR="00D86C2F" w:rsidRPr="00004064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BD" w:rsidRPr="00004064" w:rsidTr="00B378BD">
        <w:trPr>
          <w:trHeight w:val="2269"/>
        </w:trPr>
        <w:tc>
          <w:tcPr>
            <w:tcW w:w="4248" w:type="dxa"/>
            <w:hideMark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целей </w:t>
            </w:r>
            <w:r w:rsidR="00513FC9" w:rsidRPr="00004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23" w:type="dxa"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64786"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тепень использования средств, </w:t>
            </w: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выделенных на реализацию программных мероприятий;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получивших стимулирующие выплаты;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увеличение основных показателей.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BD" w:rsidRPr="00004064" w:rsidRDefault="00B378BD" w:rsidP="00ED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BD" w:rsidRPr="00004064" w:rsidRDefault="00B378BD" w:rsidP="00ED32A3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64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проблемы и цель </w:t>
      </w:r>
      <w:r w:rsidR="00513FC9" w:rsidRPr="00004064">
        <w:rPr>
          <w:rFonts w:ascii="Times New Roman" w:hAnsi="Times New Roman" w:cs="Times New Roman"/>
          <w:b/>
          <w:sz w:val="28"/>
          <w:szCs w:val="28"/>
        </w:rPr>
        <w:t>П</w:t>
      </w:r>
      <w:r w:rsidRPr="00004064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B378BD" w:rsidRPr="00004064" w:rsidRDefault="00B378BD" w:rsidP="00ED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направлены  для достижения основных целей:</w:t>
      </w: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1) ежегодный анализ кадрового состояния отрасли  «Культура»;</w:t>
      </w: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8BD" w:rsidRPr="00004064" w:rsidRDefault="00513FC9" w:rsidP="00ED3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2"/>
      <w:r w:rsidRPr="0000406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378BD" w:rsidRPr="00004064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</w:t>
      </w:r>
      <w:r w:rsidRPr="00004064">
        <w:rPr>
          <w:rFonts w:ascii="Times New Roman" w:hAnsi="Times New Roman" w:cs="Times New Roman"/>
          <w:b/>
          <w:bCs/>
          <w:sz w:val="28"/>
          <w:szCs w:val="28"/>
        </w:rPr>
        <w:t xml:space="preserve">дачи, сроки и этапы реализации </w:t>
      </w:r>
      <w:r w:rsidR="00B378BD" w:rsidRPr="00004064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</w:p>
    <w:bookmarkEnd w:id="0"/>
    <w:p w:rsidR="00B378BD" w:rsidRPr="00004064" w:rsidRDefault="00B378BD" w:rsidP="00ED32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8BD" w:rsidRPr="00004064" w:rsidRDefault="00B378BD" w:rsidP="00ED32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</w:t>
      </w:r>
      <w:r w:rsidR="006C65A9" w:rsidRPr="00004064">
        <w:rPr>
          <w:rFonts w:ascii="Times New Roman" w:hAnsi="Times New Roman" w:cs="Times New Roman"/>
          <w:sz w:val="28"/>
          <w:szCs w:val="28"/>
        </w:rPr>
        <w:t>культуры. Срок реализации – 2014</w:t>
      </w:r>
      <w:r w:rsidRPr="0000406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378BD" w:rsidRPr="00004064" w:rsidRDefault="00B378BD" w:rsidP="00ED32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8BD" w:rsidRPr="00004064" w:rsidRDefault="00B378BD" w:rsidP="00ED32A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64">
        <w:rPr>
          <w:rFonts w:ascii="Times New Roman" w:hAnsi="Times New Roman" w:cs="Times New Roman"/>
          <w:b/>
          <w:sz w:val="28"/>
          <w:szCs w:val="28"/>
        </w:rPr>
        <w:lastRenderedPageBreak/>
        <w:t>3. Перечень и описание программных мероприятий</w:t>
      </w:r>
    </w:p>
    <w:p w:rsidR="00B378BD" w:rsidRPr="00004064" w:rsidRDefault="00B378BD" w:rsidP="00ED32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94"/>
        <w:gridCol w:w="1417"/>
        <w:gridCol w:w="1146"/>
        <w:gridCol w:w="129"/>
        <w:gridCol w:w="1141"/>
        <w:gridCol w:w="135"/>
        <w:gridCol w:w="992"/>
        <w:gridCol w:w="1986"/>
      </w:tblGrid>
      <w:tr w:rsidR="00B378BD" w:rsidRPr="00004064" w:rsidTr="00964786">
        <w:trPr>
          <w:trHeight w:val="8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              (тыс</w:t>
            </w:r>
            <w:proofErr w:type="gramStart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Получатель денежных средств</w:t>
            </w:r>
          </w:p>
        </w:tc>
      </w:tr>
      <w:tr w:rsidR="00B378BD" w:rsidRPr="00004064" w:rsidTr="00964786">
        <w:trPr>
          <w:trHeight w:val="7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BD" w:rsidRPr="00004064" w:rsidTr="00964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Бейсугский</w:t>
            </w:r>
            <w:proofErr w:type="spellEnd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  <w:r w:rsidR="00964786" w:rsidRPr="000040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65A9" w:rsidRPr="00004064" w:rsidRDefault="006C65A9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A9" w:rsidRPr="00004064" w:rsidRDefault="006C65A9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A9" w:rsidRPr="00004064" w:rsidRDefault="006C65A9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492,1</w:t>
            </w: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8BD" w:rsidRPr="00004064" w:rsidRDefault="00B378BD" w:rsidP="00ED32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Бейсугский</w:t>
            </w:r>
            <w:proofErr w:type="spellEnd"/>
            <w:r w:rsidRPr="0000406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B378BD" w:rsidRPr="00004064" w:rsidTr="0096478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6C65A9" w:rsidRPr="00004064" w:rsidRDefault="006C65A9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5A9" w:rsidRPr="00004064" w:rsidRDefault="006C65A9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398,4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064">
              <w:rPr>
                <w:rFonts w:ascii="Times New Roman" w:hAnsi="Times New Roman" w:cs="Times New Roman"/>
                <w:sz w:val="28"/>
                <w:szCs w:val="28"/>
              </w:rPr>
              <w:t>492,1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BD" w:rsidRPr="00004064" w:rsidRDefault="00B378BD" w:rsidP="00ED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5A9" w:rsidRPr="00004064" w:rsidRDefault="006C65A9" w:rsidP="00ED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A9" w:rsidRPr="00004064" w:rsidRDefault="006C65A9" w:rsidP="00ED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BD" w:rsidRPr="00004064" w:rsidRDefault="00B378BD" w:rsidP="00ED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64">
        <w:rPr>
          <w:rFonts w:ascii="Times New Roman" w:hAnsi="Times New Roman" w:cs="Times New Roman"/>
          <w:b/>
          <w:sz w:val="28"/>
          <w:szCs w:val="28"/>
        </w:rPr>
        <w:t>4.Управление программой и механизм ее реализации</w:t>
      </w:r>
    </w:p>
    <w:p w:rsidR="00B378BD" w:rsidRPr="00004064" w:rsidRDefault="00B378BD" w:rsidP="00E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BD" w:rsidRPr="00004064" w:rsidRDefault="00B378BD" w:rsidP="00ED32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064">
        <w:rPr>
          <w:rFonts w:ascii="Times New Roman" w:hAnsi="Times New Roman" w:cs="Times New Roman"/>
          <w:sz w:val="28"/>
          <w:szCs w:val="28"/>
        </w:rPr>
        <w:t>Необходимый объем финансирования мероприятий по реализации программы за счет средств местного бюджета (бюджета Новоджерелиевского сельского поселения Брюховецкого район</w:t>
      </w:r>
      <w:r w:rsidR="00EC59CD" w:rsidRPr="00004064">
        <w:rPr>
          <w:rFonts w:ascii="Times New Roman" w:hAnsi="Times New Roman" w:cs="Times New Roman"/>
          <w:sz w:val="28"/>
          <w:szCs w:val="28"/>
        </w:rPr>
        <w:t xml:space="preserve">а), предусмотренных по разделу </w:t>
      </w:r>
      <w:r w:rsidRPr="00004064">
        <w:rPr>
          <w:rFonts w:ascii="Times New Roman" w:hAnsi="Times New Roman" w:cs="Times New Roman"/>
          <w:sz w:val="28"/>
          <w:szCs w:val="28"/>
        </w:rPr>
        <w:t xml:space="preserve">0801 «Культура, искусство и кинематография», отражен в перечне мероприятий </w:t>
      </w:r>
      <w:r w:rsidR="00EC59CD" w:rsidRPr="0000406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004064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C13EB7" w:rsidRPr="00004064">
        <w:rPr>
          <w:rFonts w:ascii="Times New Roman" w:hAnsi="Times New Roman" w:cs="Times New Roman"/>
          <w:sz w:val="28"/>
          <w:szCs w:val="28"/>
        </w:rPr>
        <w:t xml:space="preserve">«Развитие культуры в Новоджерелиевском сельском поселении Брюховецкого района» на 2014 год </w:t>
      </w:r>
      <w:r w:rsidRPr="00004064">
        <w:rPr>
          <w:rFonts w:ascii="Times New Roman" w:hAnsi="Times New Roman" w:cs="Times New Roman"/>
          <w:sz w:val="28"/>
          <w:szCs w:val="28"/>
        </w:rPr>
        <w:t>«Кадрово</w:t>
      </w:r>
      <w:r w:rsidR="00964786" w:rsidRPr="00004064">
        <w:rPr>
          <w:rFonts w:ascii="Times New Roman" w:hAnsi="Times New Roman" w:cs="Times New Roman"/>
          <w:sz w:val="28"/>
          <w:szCs w:val="28"/>
        </w:rPr>
        <w:t xml:space="preserve">е обеспечение в сфере культуры </w:t>
      </w:r>
      <w:r w:rsidRPr="00004064">
        <w:rPr>
          <w:rFonts w:ascii="Times New Roman" w:hAnsi="Times New Roman" w:cs="Times New Roman"/>
          <w:sz w:val="28"/>
          <w:szCs w:val="28"/>
        </w:rPr>
        <w:t xml:space="preserve">в Новоджерелиевском сельском поселении Брюховецкого района» на </w:t>
      </w:r>
      <w:r w:rsidR="00EC59CD" w:rsidRPr="00004064">
        <w:rPr>
          <w:rFonts w:ascii="Times New Roman" w:hAnsi="Times New Roman" w:cs="Times New Roman"/>
          <w:sz w:val="28"/>
          <w:szCs w:val="28"/>
        </w:rPr>
        <w:t>2014</w:t>
      </w:r>
      <w:r w:rsidR="00C13EB7" w:rsidRPr="00004064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="00C13EB7" w:rsidRPr="0000406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004064">
        <w:rPr>
          <w:rFonts w:ascii="Times New Roman" w:hAnsi="Times New Roman" w:cs="Times New Roman"/>
          <w:sz w:val="28"/>
          <w:szCs w:val="28"/>
        </w:rPr>
        <w:t xml:space="preserve"> </w:t>
      </w:r>
      <w:r w:rsidR="00C13EB7" w:rsidRPr="00004064">
        <w:rPr>
          <w:rFonts w:ascii="Times New Roman" w:hAnsi="Times New Roman" w:cs="Times New Roman"/>
          <w:sz w:val="28"/>
          <w:szCs w:val="28"/>
        </w:rPr>
        <w:t>93,7</w:t>
      </w:r>
      <w:r w:rsidRPr="00004064">
        <w:rPr>
          <w:rFonts w:ascii="Times New Roman" w:hAnsi="Times New Roman" w:cs="Times New Roman"/>
          <w:sz w:val="28"/>
          <w:szCs w:val="28"/>
        </w:rPr>
        <w:t xml:space="preserve"> тыс. рублей. Ответственным за реализацию программы является МБУ «</w:t>
      </w:r>
      <w:proofErr w:type="spellStart"/>
      <w:r w:rsidRPr="00004064">
        <w:rPr>
          <w:rFonts w:ascii="Times New Roman" w:hAnsi="Times New Roman" w:cs="Times New Roman"/>
          <w:sz w:val="28"/>
          <w:szCs w:val="28"/>
        </w:rPr>
        <w:t>Бейс</w:t>
      </w:r>
      <w:r w:rsidR="00C13EB7" w:rsidRPr="00004064">
        <w:rPr>
          <w:rFonts w:ascii="Times New Roman" w:hAnsi="Times New Roman" w:cs="Times New Roman"/>
          <w:sz w:val="28"/>
          <w:szCs w:val="28"/>
        </w:rPr>
        <w:t>угский</w:t>
      </w:r>
      <w:proofErr w:type="spellEnd"/>
      <w:r w:rsidR="00C13EB7" w:rsidRPr="00004064">
        <w:rPr>
          <w:rFonts w:ascii="Times New Roman" w:hAnsi="Times New Roman" w:cs="Times New Roman"/>
          <w:sz w:val="28"/>
          <w:szCs w:val="28"/>
        </w:rPr>
        <w:t xml:space="preserve"> сельский дом культуры» (</w:t>
      </w:r>
      <w:r w:rsidRPr="0000406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C13EB7" w:rsidRPr="00004064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="00C13EB7" w:rsidRPr="00004064">
        <w:rPr>
          <w:rFonts w:ascii="Times New Roman" w:hAnsi="Times New Roman" w:cs="Times New Roman"/>
          <w:sz w:val="28"/>
          <w:szCs w:val="28"/>
        </w:rPr>
        <w:t xml:space="preserve"> А.Н.</w:t>
      </w:r>
      <w:r w:rsidRPr="00004064">
        <w:rPr>
          <w:rFonts w:ascii="Times New Roman" w:hAnsi="Times New Roman" w:cs="Times New Roman"/>
          <w:sz w:val="28"/>
          <w:szCs w:val="28"/>
        </w:rPr>
        <w:t>)</w:t>
      </w:r>
    </w:p>
    <w:p w:rsidR="00B378BD" w:rsidRPr="00004064" w:rsidRDefault="00B378BD" w:rsidP="00E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BD" w:rsidRPr="00004064" w:rsidRDefault="00B378BD" w:rsidP="00ED3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64">
        <w:rPr>
          <w:rFonts w:ascii="Times New Roman" w:hAnsi="Times New Roman" w:cs="Times New Roman"/>
          <w:b/>
          <w:sz w:val="28"/>
          <w:szCs w:val="28"/>
        </w:rPr>
        <w:lastRenderedPageBreak/>
        <w:t>5. Оценка социаль</w:t>
      </w:r>
      <w:r w:rsidR="00513FC9" w:rsidRPr="00004064">
        <w:rPr>
          <w:rFonts w:ascii="Times New Roman" w:hAnsi="Times New Roman" w:cs="Times New Roman"/>
          <w:b/>
          <w:sz w:val="28"/>
          <w:szCs w:val="28"/>
        </w:rPr>
        <w:t xml:space="preserve">но-экономической эффективности </w:t>
      </w:r>
      <w:r w:rsidRPr="0000406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378BD" w:rsidRPr="00004064" w:rsidRDefault="00B378BD" w:rsidP="00ED3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BD" w:rsidRPr="00004064" w:rsidRDefault="00B378BD" w:rsidP="00ED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Социально – экономический эффект от реализации Программы выражается в повышении социальной роли культуры </w:t>
      </w:r>
      <w:proofErr w:type="gramStart"/>
      <w:r w:rsidRPr="00004064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004064">
        <w:rPr>
          <w:rFonts w:ascii="Times New Roman" w:hAnsi="Times New Roman" w:cs="Times New Roman"/>
          <w:sz w:val="28"/>
          <w:szCs w:val="28"/>
        </w:rPr>
        <w:t>:</w:t>
      </w:r>
    </w:p>
    <w:p w:rsidR="00B378BD" w:rsidRPr="00004064" w:rsidRDefault="00B378BD" w:rsidP="00ED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- создания благоприятных условий для творческой деятельности работников культуры;</w:t>
      </w:r>
    </w:p>
    <w:p w:rsidR="00B378BD" w:rsidRPr="00004064" w:rsidRDefault="00B378BD" w:rsidP="00ED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- улучшение качества проводимых мероприятий,</w:t>
      </w:r>
    </w:p>
    <w:p w:rsidR="00B378BD" w:rsidRPr="00004064" w:rsidRDefault="00B378BD" w:rsidP="00ED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>-организация мотивации работников с целью увеличения основных показателей.</w:t>
      </w:r>
    </w:p>
    <w:p w:rsidR="00B378BD" w:rsidRPr="00004064" w:rsidRDefault="00B378BD" w:rsidP="00ED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BD" w:rsidRPr="00004064" w:rsidRDefault="00B378BD" w:rsidP="00ED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64">
        <w:rPr>
          <w:rFonts w:ascii="Times New Roman" w:hAnsi="Times New Roman" w:cs="Times New Roman"/>
          <w:b/>
          <w:sz w:val="28"/>
          <w:szCs w:val="28"/>
        </w:rPr>
        <w:t>6. Критерии выполнения Программы</w:t>
      </w:r>
    </w:p>
    <w:p w:rsidR="00B378BD" w:rsidRPr="00004064" w:rsidRDefault="00B378BD" w:rsidP="00E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BD" w:rsidRPr="00004064" w:rsidRDefault="00B378BD" w:rsidP="00ED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В реализации Программы могут принимать участие учреждения культуры, подведомственные администрации Новоджерелиевского сельского поселения Брюховецкого района. Оплата производится согласно перечню должностей и  профессий работников муниципального учреждения отрасли «Культура, искусство и кинематография» Новоджерелиевского сельского поселения Брюховецкого района: </w:t>
      </w:r>
    </w:p>
    <w:p w:rsidR="00B378BD" w:rsidRPr="00004064" w:rsidRDefault="00B378BD" w:rsidP="00ED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4064">
        <w:rPr>
          <w:rFonts w:ascii="Times New Roman" w:hAnsi="Times New Roman" w:cs="Times New Roman"/>
          <w:sz w:val="28"/>
          <w:szCs w:val="28"/>
        </w:rPr>
        <w:t>Работники библиотек (библиотекарь, главный библиотекарь, библиограф, главный библиограф, заведующий (начальник) структурным подразделением (отделом, сектором, филиалом).</w:t>
      </w:r>
      <w:proofErr w:type="gramEnd"/>
    </w:p>
    <w:p w:rsidR="00B378BD" w:rsidRPr="00004064" w:rsidRDefault="00B378BD" w:rsidP="00ED32A3">
      <w:pPr>
        <w:pStyle w:val="a3"/>
        <w:rPr>
          <w:sz w:val="28"/>
          <w:szCs w:val="28"/>
        </w:rPr>
      </w:pPr>
      <w:r w:rsidRPr="00004064">
        <w:rPr>
          <w:sz w:val="28"/>
          <w:szCs w:val="28"/>
        </w:rPr>
        <w:tab/>
        <w:t xml:space="preserve">2. </w:t>
      </w:r>
      <w:proofErr w:type="gramStart"/>
      <w:r w:rsidRPr="00004064">
        <w:rPr>
          <w:sz w:val="28"/>
          <w:szCs w:val="28"/>
        </w:rPr>
        <w:t>Работники музеев и их филиалов (научный сотрудник, старший научный сотрудник, ведущий научный сотрудник, главный научный сотрудник, хранитель фондов, главный хранитель фондов, заведующий (начальник) структурным подразделением (отделом, сектором, филиалом), лектор (экскурсовод), смотритель музейный).</w:t>
      </w:r>
      <w:proofErr w:type="gramEnd"/>
    </w:p>
    <w:p w:rsidR="00B378BD" w:rsidRPr="00004064" w:rsidRDefault="00B378BD" w:rsidP="00ED32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04064">
        <w:rPr>
          <w:rFonts w:ascii="Times New Roman" w:hAnsi="Times New Roman" w:cs="Times New Roman"/>
          <w:sz w:val="28"/>
          <w:szCs w:val="28"/>
        </w:rPr>
        <w:t xml:space="preserve">3.Работники учреждений </w:t>
      </w:r>
      <w:proofErr w:type="spellStart"/>
      <w:r w:rsidRPr="00004064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004064">
        <w:rPr>
          <w:rFonts w:ascii="Times New Roman" w:hAnsi="Times New Roman" w:cs="Times New Roman"/>
          <w:sz w:val="28"/>
          <w:szCs w:val="28"/>
        </w:rPr>
        <w:t xml:space="preserve"> типа (художественный руководитель, </w:t>
      </w:r>
      <w:proofErr w:type="spellStart"/>
      <w:r w:rsidRPr="00004064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004064">
        <w:rPr>
          <w:rFonts w:ascii="Times New Roman" w:hAnsi="Times New Roman" w:cs="Times New Roman"/>
          <w:sz w:val="28"/>
          <w:szCs w:val="28"/>
        </w:rPr>
        <w:t>, режиссер, хормейстер, балетмейстер, дирижер, художники (всех видов), артисты (всех видов), руководитель кружка, звукооператор, звукорежиссер, аккомпаниатор, заведующий (начальник) структурным подразделением (отделом, сектором, филиалом), руководитель клубного формирования, любительского объединения, клуба по интересам).</w:t>
      </w:r>
      <w:proofErr w:type="gramEnd"/>
    </w:p>
    <w:p w:rsidR="00B378BD" w:rsidRPr="00004064" w:rsidRDefault="00B378BD" w:rsidP="00ED32A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04064">
        <w:rPr>
          <w:rFonts w:ascii="Times New Roman" w:hAnsi="Times New Roman" w:cs="Times New Roman"/>
          <w:sz w:val="28"/>
          <w:szCs w:val="28"/>
        </w:rPr>
        <w:t>4.Работники вышеуказанных учреждений, осуществляющие деятельность по следующим профессиям рабочих: вахтер, водитель, гардеробщик, дворник, истопник, кассир билетный, кладовщик, машинист (кочегар) котельной, машинист по стирке и ремонту белья, мойщик посуды, настройщик музыкальных инструментов, оператор видеозаписи, оператор котельной, переплетчик документов, плотник, повар, подсобный рабочий, рабочий по комплексному обслуживанию и ремонту зданий и сооружений, реставратор музыкальных инструментов, слесарь-сантехник, слесарь-электрик, сторож, уборщик служебных помещений</w:t>
      </w:r>
      <w:proofErr w:type="gramEnd"/>
      <w:r w:rsidRPr="00004064">
        <w:rPr>
          <w:rFonts w:ascii="Times New Roman" w:hAnsi="Times New Roman" w:cs="Times New Roman"/>
          <w:sz w:val="28"/>
          <w:szCs w:val="28"/>
        </w:rPr>
        <w:t>, уборщик территорий, электрик, электромонтер по ремонту и обслуживанию электрооборудования.</w:t>
      </w:r>
    </w:p>
    <w:p w:rsidR="00B378BD" w:rsidRPr="00004064" w:rsidRDefault="00B378BD" w:rsidP="00ED3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BD" w:rsidRPr="00004064" w:rsidRDefault="00B378BD" w:rsidP="00ED32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378BD" w:rsidRPr="00004064" w:rsidSect="00ED32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8BD"/>
    <w:rsid w:val="00004064"/>
    <w:rsid w:val="000538F5"/>
    <w:rsid w:val="00287BF4"/>
    <w:rsid w:val="0035470C"/>
    <w:rsid w:val="00513FC9"/>
    <w:rsid w:val="00580282"/>
    <w:rsid w:val="00611984"/>
    <w:rsid w:val="00691FCF"/>
    <w:rsid w:val="006C65A9"/>
    <w:rsid w:val="00737E01"/>
    <w:rsid w:val="00900F88"/>
    <w:rsid w:val="00964786"/>
    <w:rsid w:val="00AE6031"/>
    <w:rsid w:val="00B378BD"/>
    <w:rsid w:val="00C13EB7"/>
    <w:rsid w:val="00D3177D"/>
    <w:rsid w:val="00D4598F"/>
    <w:rsid w:val="00D86C2F"/>
    <w:rsid w:val="00E96EF5"/>
    <w:rsid w:val="00EC59CD"/>
    <w:rsid w:val="00ED32A3"/>
    <w:rsid w:val="00F3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F4"/>
  </w:style>
  <w:style w:type="paragraph" w:styleId="1">
    <w:name w:val="heading 1"/>
    <w:basedOn w:val="a"/>
    <w:next w:val="a"/>
    <w:link w:val="10"/>
    <w:uiPriority w:val="99"/>
    <w:qFormat/>
    <w:rsid w:val="00E96E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6EF5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96EF5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D86C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92539.0" TargetMode="External"/><Relationship Id="rId5" Type="http://schemas.openxmlformats.org/officeDocument/2006/relationships/hyperlink" Target="garantF1://3689253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6</cp:revision>
  <dcterms:created xsi:type="dcterms:W3CDTF">2014-02-12T05:11:00Z</dcterms:created>
  <dcterms:modified xsi:type="dcterms:W3CDTF">2014-04-07T09:57:00Z</dcterms:modified>
</cp:coreProperties>
</file>