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28" w:rsidRDefault="004E4828" w:rsidP="004E4828">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 xml:space="preserve">Проект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915DDC"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21370">
        <w:rPr>
          <w:rFonts w:ascii="Times New Roman" w:hAnsi="Times New Roman" w:cs="Times New Roman"/>
          <w:sz w:val="28"/>
          <w:szCs w:val="28"/>
        </w:rPr>
        <w:t>т</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4E4828">
        <w:rPr>
          <w:rFonts w:ascii="Times New Roman" w:hAnsi="Times New Roman" w:cs="Times New Roman"/>
          <w:sz w:val="28"/>
          <w:szCs w:val="28"/>
        </w:rPr>
        <w:t xml:space="preserve">                                               </w:t>
      </w:r>
      <w:r w:rsidR="00E01B8F" w:rsidRPr="009C0E33">
        <w:rPr>
          <w:rFonts w:ascii="Times New Roman" w:hAnsi="Times New Roman" w:cs="Times New Roman"/>
          <w:sz w:val="28"/>
          <w:szCs w:val="28"/>
        </w:rPr>
        <w:tab/>
      </w:r>
      <w:r w:rsidR="00721370">
        <w:rPr>
          <w:rFonts w:ascii="Times New Roman" w:hAnsi="Times New Roman" w:cs="Times New Roman"/>
          <w:sz w:val="28"/>
          <w:szCs w:val="28"/>
        </w:rPr>
        <w:t>№</w:t>
      </w:r>
      <w:r>
        <w:rPr>
          <w:rFonts w:ascii="Times New Roman" w:hAnsi="Times New Roman" w:cs="Times New Roman"/>
          <w:sz w:val="28"/>
          <w:szCs w:val="28"/>
        </w:rPr>
        <w:t xml:space="preserve"> </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721370">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bookmarkStart w:id="5" w:name="_GoBack"/>
      <w:bookmarkEnd w:id="5"/>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72137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72137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72137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72137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D34030">
              <w:rPr>
                <w:rFonts w:ascii="Times New Roman" w:eastAsia="Times New Roman" w:hAnsi="Times New Roman" w:cs="Times New Roman"/>
                <w:sz w:val="28"/>
                <w:szCs w:val="28"/>
                <w:lang w:eastAsia="ru-RU"/>
              </w:rPr>
              <w:t xml:space="preserve"> годах составит 88 524,58</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657,99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34030"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17013,69</w:t>
            </w:r>
            <w:r w:rsidR="00E31327">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w:t>
            </w:r>
            <w:r w:rsidR="00721370">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2 932,9</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E8674F" w:rsidRPr="009C0E33" w:rsidRDefault="00E8674F"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w:t>
      </w:r>
      <w:r w:rsidRPr="009C0E33">
        <w:rPr>
          <w:rFonts w:ascii="Times New Roman" w:eastAsia="Times New Roman" w:hAnsi="Times New Roman" w:cs="Times New Roman"/>
          <w:sz w:val="28"/>
          <w:szCs w:val="28"/>
          <w:lang w:eastAsia="ru-RU"/>
        </w:rPr>
        <w:lastRenderedPageBreak/>
        <w:t>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721370">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721370">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721370">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721370">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 xml:space="preserve">и информация о доле участия заинтересованных лиц и выполнении </w:t>
      </w:r>
      <w:r w:rsidR="001943D5" w:rsidRPr="009C0E33">
        <w:rPr>
          <w:rFonts w:ascii="Times New Roman" w:eastAsia="Times New Roman" w:hAnsi="Times New Roman" w:cs="Times New Roman"/>
          <w:sz w:val="28"/>
          <w:szCs w:val="28"/>
          <w:lang w:eastAsia="ru-RU"/>
        </w:rPr>
        <w:lastRenderedPageBreak/>
        <w:t>дополнительного перечня работ по благоустройству</w:t>
      </w:r>
      <w:r w:rsidR="00721370">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721370">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721370">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72137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lastRenderedPageBreak/>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72137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72137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72137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993"/>
        <w:gridCol w:w="850"/>
        <w:gridCol w:w="851"/>
        <w:gridCol w:w="992"/>
        <w:gridCol w:w="850"/>
        <w:gridCol w:w="851"/>
        <w:gridCol w:w="850"/>
        <w:gridCol w:w="851"/>
        <w:gridCol w:w="1417"/>
        <w:gridCol w:w="1418"/>
      </w:tblGrid>
      <w:tr w:rsidR="009C0E33" w:rsidRPr="009C0E33" w:rsidTr="000C2666">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0C2666">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0C2666">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1914"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0C2666">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1914"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Прохождение </w:t>
            </w:r>
            <w:r w:rsidRPr="009C0E33">
              <w:rPr>
                <w:rFonts w:ascii="Times New Roman" w:eastAsia="Times New Roman" w:hAnsi="Times New Roman" w:cs="Times New Roman"/>
                <w:sz w:val="24"/>
                <w:szCs w:val="24"/>
                <w:lang w:eastAsia="ru-RU"/>
              </w:rPr>
              <w:lastRenderedPageBreak/>
              <w:t>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w:t>
            </w:r>
            <w:r w:rsidRPr="009C0E33">
              <w:rPr>
                <w:rFonts w:ascii="Times New Roman" w:eastAsia="Times New Roman" w:hAnsi="Times New Roman" w:cs="Times New Roman"/>
                <w:sz w:val="24"/>
                <w:szCs w:val="24"/>
                <w:lang w:eastAsia="ru-RU"/>
              </w:rPr>
              <w:lastRenderedPageBreak/>
              <w:t>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w:t>
            </w:r>
            <w:r w:rsidRPr="009C0E33">
              <w:rPr>
                <w:rFonts w:ascii="Times New Roman" w:eastAsia="Times New Roman" w:hAnsi="Times New Roman" w:cs="Times New Roman"/>
                <w:sz w:val="24"/>
                <w:szCs w:val="24"/>
                <w:lang w:eastAsia="ru-RU"/>
              </w:rPr>
              <w:lastRenderedPageBreak/>
              <w:t xml:space="preserve">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721370">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721370">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0C2666">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53FC7"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r w:rsidR="00721370">
              <w:rPr>
                <w:rFonts w:ascii="Times New Roman" w:eastAsia="Times New Roman" w:hAnsi="Times New Roman" w:cs="Times New Roman"/>
                <w:sz w:val="24"/>
                <w:szCs w:val="24"/>
                <w:lang w:eastAsia="ru-RU"/>
              </w:rPr>
              <w:t xml:space="preserve"> </w:t>
            </w:r>
            <w:r w:rsidR="002624B6" w:rsidRPr="009C0E33">
              <w:rPr>
                <w:rFonts w:ascii="Times New Roman" w:hAnsi="Times New Roman" w:cs="Times New Roman"/>
                <w:sz w:val="24"/>
                <w:szCs w:val="24"/>
              </w:rPr>
              <w:t>дворовой территории многоквартирных домов по ул. Мира, 72, ул. Дзержинского, 57, ул.Дзержинского,59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0627C"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947436" w:rsidP="00B33950">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r w:rsidRPr="009C0E33">
              <w:rPr>
                <w:rFonts w:ascii="Times New Roman" w:hAnsi="Times New Roman" w:cs="Times New Roman"/>
                <w:sz w:val="24"/>
                <w:szCs w:val="24"/>
              </w:rPr>
              <w:t xml:space="preserve"> дворовой территории многоквартирных домов по ул. Мира, 72, ул. Дзержинского, 57, ул.Дзержи</w:t>
            </w:r>
            <w:r w:rsidRPr="009C0E33">
              <w:rPr>
                <w:rFonts w:ascii="Times New Roman" w:hAnsi="Times New Roman" w:cs="Times New Roman"/>
                <w:sz w:val="24"/>
                <w:szCs w:val="24"/>
              </w:rPr>
              <w:lastRenderedPageBreak/>
              <w:t>нского,59 ст. Новоджерелиевской Брюховецкого района</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0627C"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 xml:space="preserve">Изготовление проектно-сметной документации </w:t>
            </w:r>
            <w:r w:rsidRPr="009C0E33">
              <w:rPr>
                <w:rFonts w:ascii="Times New Roman" w:eastAsia="Times New Roman" w:hAnsi="Times New Roman" w:cs="Times New Roman"/>
                <w:sz w:val="24"/>
                <w:szCs w:val="24"/>
                <w:lang w:eastAsia="ru-RU"/>
              </w:rPr>
              <w:lastRenderedPageBreak/>
              <w:t xml:space="preserve">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w:t>
            </w:r>
            <w:r w:rsidRPr="009C0E33">
              <w:rPr>
                <w:rFonts w:ascii="Times New Roman" w:eastAsia="Times New Roman" w:hAnsi="Times New Roman" w:cs="Times New Roman"/>
                <w:sz w:val="24"/>
                <w:szCs w:val="24"/>
                <w:lang w:eastAsia="ru-RU"/>
              </w:rPr>
              <w:lastRenderedPageBreak/>
              <w:t xml:space="preserve">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1.11</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721370">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18 480,99</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5A18A4" w:rsidRDefault="00FC678D" w:rsidP="001B5D7D">
            <w:pPr>
              <w:spacing w:after="0" w:line="240" w:lineRule="auto"/>
              <w:rPr>
                <w:rFonts w:ascii="Times New Roman" w:eastAsia="Times New Roman" w:hAnsi="Times New Roman" w:cs="Times New Roman"/>
                <w:sz w:val="18"/>
                <w:szCs w:val="18"/>
                <w:lang w:eastAsia="ru-RU"/>
              </w:rPr>
            </w:pPr>
            <w:r w:rsidRPr="005A18A4">
              <w:rPr>
                <w:rFonts w:ascii="Times New Roman" w:eastAsia="Times New Roman" w:hAnsi="Times New Roman" w:cs="Times New Roman"/>
                <w:sz w:val="18"/>
                <w:szCs w:val="18"/>
                <w:lang w:eastAsia="ru-RU"/>
              </w:rPr>
              <w:t>18 480,99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721370">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5A18A4" w:rsidRDefault="00896E18" w:rsidP="00303D1E">
            <w:pPr>
              <w:spacing w:after="0" w:line="240" w:lineRule="auto"/>
              <w:rPr>
                <w:rFonts w:ascii="Times New Roman" w:eastAsia="Times New Roman" w:hAnsi="Times New Roman" w:cs="Times New Roman"/>
                <w:sz w:val="18"/>
                <w:szCs w:val="18"/>
                <w:lang w:eastAsia="ru-RU"/>
              </w:rPr>
            </w:pPr>
            <w:r w:rsidRPr="005A18A4">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657,99</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5A18A4" w:rsidRDefault="00896E18" w:rsidP="00303D1E">
            <w:pPr>
              <w:spacing w:after="0" w:line="240" w:lineRule="auto"/>
              <w:rPr>
                <w:rFonts w:ascii="Times New Roman" w:eastAsia="Times New Roman" w:hAnsi="Times New Roman" w:cs="Times New Roman"/>
                <w:sz w:val="18"/>
                <w:szCs w:val="18"/>
                <w:lang w:eastAsia="ru-RU"/>
              </w:rPr>
            </w:pPr>
            <w:r w:rsidRPr="005A18A4">
              <w:rPr>
                <w:rFonts w:ascii="Times New Roman" w:eastAsia="Times New Roman" w:hAnsi="Times New Roman" w:cs="Times New Roman"/>
                <w:sz w:val="18"/>
                <w:szCs w:val="18"/>
                <w:lang w:eastAsia="ru-RU"/>
              </w:rPr>
              <w:t>657,99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0C2666">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721370">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721370">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 xml:space="preserve">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0C2666">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0C2666">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0C2666">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1.12</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w:t>
            </w:r>
            <w:r w:rsidRPr="009C0E33">
              <w:rPr>
                <w:rFonts w:ascii="Times New Roman" w:hAnsi="Times New Roman" w:cs="Times New Roman"/>
                <w:sz w:val="24"/>
                <w:szCs w:val="24"/>
              </w:rPr>
              <w:lastRenderedPageBreak/>
              <w:t>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1.13</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1.14</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417 Стрелковой дивизии от ул. Ленина до ул. Пугачева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lastRenderedPageBreak/>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r w:rsidRPr="009C0E33">
              <w:rPr>
                <w:rFonts w:ascii="Times New Roman" w:eastAsia="Times New Roman" w:hAnsi="Times New Roman" w:cs="Times New Roman"/>
                <w:sz w:val="24"/>
                <w:szCs w:val="24"/>
                <w:lang w:eastAsia="ru-RU"/>
              </w:rPr>
              <w:lastRenderedPageBreak/>
              <w:t>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CA125A">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6E0DED" w:rsidRPr="009C0E33" w:rsidRDefault="006E0DED" w:rsidP="009F026B">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Обустройство спортивно-игровой площадки по ул. Коммунаров – ул. Голуба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7776A">
              <w:rPr>
                <w:rFonts w:ascii="Times New Roman" w:eastAsia="Times New Roman" w:hAnsi="Times New Roman" w:cs="Times New Roman"/>
                <w:sz w:val="24"/>
                <w:szCs w:val="24"/>
                <w:lang w:eastAsia="ru-RU"/>
              </w:rPr>
              <w:t>1</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w:t>
            </w:r>
            <w:r w:rsidRPr="00BF474F">
              <w:rPr>
                <w:rFonts w:ascii="Times New Roman" w:eastAsia="Times New Roman" w:hAnsi="Times New Roman" w:cs="Times New Roman"/>
                <w:sz w:val="24"/>
                <w:szCs w:val="24"/>
                <w:lang w:eastAsia="ru-RU"/>
              </w:rPr>
              <w:lastRenderedPageBreak/>
              <w:t>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9C0E33" w:rsidTr="000C2666">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7776A">
              <w:rPr>
                <w:rFonts w:ascii="Times New Roman" w:eastAsia="Times New Roman" w:hAnsi="Times New Roman" w:cs="Times New Roman"/>
                <w:sz w:val="24"/>
                <w:szCs w:val="24"/>
                <w:lang w:eastAsia="ru-RU"/>
              </w:rPr>
              <w:t>2</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9C0E33" w:rsidTr="000C2666">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7776A">
              <w:rPr>
                <w:rFonts w:ascii="Times New Roman" w:eastAsia="Times New Roman" w:hAnsi="Times New Roman" w:cs="Times New Roman"/>
                <w:sz w:val="24"/>
                <w:szCs w:val="24"/>
                <w:lang w:eastAsia="ru-RU"/>
              </w:rPr>
              <w:t>3</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 xml:space="preserve">Благоустройство общественной территории возле СОШ №13 в ст. Новоджерелиевской </w:t>
            </w:r>
            <w:r w:rsidRPr="00BF474F">
              <w:rPr>
                <w:rFonts w:ascii="Times New Roman" w:eastAsia="Times New Roman" w:hAnsi="Times New Roman" w:cs="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w:t>
            </w:r>
            <w:r>
              <w:rPr>
                <w:rFonts w:ascii="Times New Roman" w:hAnsi="Times New Roman"/>
                <w:sz w:val="24"/>
                <w:szCs w:val="24"/>
                <w:lang w:eastAsia="ru-RU"/>
              </w:rPr>
              <w:lastRenderedPageBreak/>
              <w:t>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lastRenderedPageBreak/>
              <w:t xml:space="preserve">Администрация Новоджерелиевского </w:t>
            </w:r>
            <w:r w:rsidRPr="009C0E33">
              <w:rPr>
                <w:rFonts w:ascii="Times New Roman" w:hAnsi="Times New Roman"/>
                <w:sz w:val="24"/>
                <w:szCs w:val="24"/>
                <w:lang w:eastAsia="ru-RU"/>
              </w:rPr>
              <w:lastRenderedPageBreak/>
              <w:t>сельского поселения Брюховецкого района</w:t>
            </w:r>
          </w:p>
        </w:tc>
      </w:tr>
      <w:tr w:rsidR="00C46EE2" w:rsidRPr="009C0E33" w:rsidTr="000C2666">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7776A">
              <w:rPr>
                <w:rFonts w:ascii="Times New Roman" w:eastAsia="Times New Roman" w:hAnsi="Times New Roman" w:cs="Times New Roman"/>
                <w:sz w:val="24"/>
                <w:szCs w:val="24"/>
                <w:lang w:eastAsia="ru-RU"/>
              </w:rPr>
              <w:t>4</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BC2884" w:rsidRPr="000C2666">
              <w:rPr>
                <w:rFonts w:ascii="Times New Roman" w:eastAsia="Times New Roman" w:hAnsi="Times New Roman" w:cs="Times New Roman"/>
                <w:sz w:val="20"/>
                <w:szCs w:val="20"/>
                <w:lang w:eastAsia="ru-RU"/>
              </w:rPr>
              <w:t>8</w:t>
            </w:r>
            <w:r w:rsidR="0047578D">
              <w:rPr>
                <w:rFonts w:ascii="Times New Roman" w:eastAsia="Times New Roman" w:hAnsi="Times New Roman" w:cs="Times New Roman"/>
                <w:sz w:val="20"/>
                <w:szCs w:val="20"/>
                <w:lang w:eastAsia="ru-RU"/>
              </w:rPr>
              <w:t>524,58</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19380,99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0C2666">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3943,49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657,99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65F0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17</w:t>
            </w:r>
            <w:r w:rsidR="00D06E3E">
              <w:rPr>
                <w:rFonts w:ascii="Times New Roman" w:eastAsia="Times New Roman" w:hAnsi="Times New Roman" w:cs="Times New Roman"/>
                <w:sz w:val="20"/>
                <w:szCs w:val="20"/>
                <w:lang w:eastAsia="ru-RU"/>
              </w:rPr>
              <w:t>013,69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2 932,9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B56448" w:rsidP="00925B0C">
            <w:pPr>
              <w:spacing w:after="200" w:line="276" w:lineRule="auto"/>
              <w:jc w:val="center"/>
              <w:rPr>
                <w:sz w:val="28"/>
                <w:szCs w:val="28"/>
              </w:rPr>
            </w:pPr>
            <w:r>
              <w:rPr>
                <w:sz w:val="28"/>
                <w:szCs w:val="28"/>
              </w:rPr>
              <w:t>19</w:t>
            </w:r>
            <w:r w:rsidR="009D48F6">
              <w:rPr>
                <w:sz w:val="28"/>
                <w:szCs w:val="28"/>
              </w:rPr>
              <w:t>380,99</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657,99</w:t>
            </w:r>
          </w:p>
        </w:tc>
        <w:tc>
          <w:tcPr>
            <w:tcW w:w="1699" w:type="dxa"/>
            <w:vAlign w:val="center"/>
          </w:tcPr>
          <w:p w:rsidR="00A86613" w:rsidRPr="009C0E33" w:rsidRDefault="00B56448" w:rsidP="00925B0C">
            <w:pPr>
              <w:spacing w:after="200" w:line="276" w:lineRule="auto"/>
              <w:jc w:val="center"/>
              <w:rPr>
                <w:sz w:val="28"/>
                <w:szCs w:val="28"/>
              </w:rPr>
            </w:pPr>
            <w:r>
              <w:rPr>
                <w:sz w:val="28"/>
                <w:szCs w:val="28"/>
              </w:rPr>
              <w:t>2</w:t>
            </w:r>
            <w:r w:rsidR="009D48F6">
              <w:rPr>
                <w:sz w:val="28"/>
                <w:szCs w:val="28"/>
              </w:rPr>
              <w:t>932,9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0B67F2" w:rsidP="009132D4">
            <w:pPr>
              <w:jc w:val="center"/>
              <w:rPr>
                <w:sz w:val="28"/>
                <w:szCs w:val="28"/>
                <w:lang w:eastAsia="ru-RU"/>
              </w:rPr>
            </w:pPr>
            <w:r>
              <w:rPr>
                <w:sz w:val="28"/>
                <w:szCs w:val="28"/>
                <w:lang w:eastAsia="ru-RU"/>
              </w:rPr>
              <w:t>885</w:t>
            </w:r>
            <w:r w:rsidR="00EB2D9F">
              <w:rPr>
                <w:sz w:val="28"/>
                <w:szCs w:val="28"/>
                <w:lang w:eastAsia="ru-RU"/>
              </w:rPr>
              <w:t>24,58</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0B67F2" w:rsidP="00F832B7">
            <w:pPr>
              <w:spacing w:after="200" w:line="276" w:lineRule="auto"/>
              <w:jc w:val="center"/>
              <w:rPr>
                <w:sz w:val="28"/>
                <w:szCs w:val="28"/>
              </w:rPr>
            </w:pPr>
            <w:r>
              <w:rPr>
                <w:sz w:val="28"/>
                <w:szCs w:val="28"/>
                <w:lang w:eastAsia="ru-RU"/>
              </w:rPr>
              <w:t>3943,49</w:t>
            </w:r>
          </w:p>
        </w:tc>
        <w:tc>
          <w:tcPr>
            <w:tcW w:w="1699" w:type="dxa"/>
            <w:vAlign w:val="center"/>
          </w:tcPr>
          <w:p w:rsidR="009132D4" w:rsidRPr="009132D4" w:rsidRDefault="000B67F2" w:rsidP="009132D4">
            <w:pPr>
              <w:jc w:val="center"/>
              <w:rPr>
                <w:sz w:val="28"/>
                <w:szCs w:val="28"/>
                <w:lang w:eastAsia="ru-RU"/>
              </w:rPr>
            </w:pPr>
            <w:r>
              <w:rPr>
                <w:sz w:val="28"/>
                <w:szCs w:val="28"/>
                <w:lang w:eastAsia="ru-RU"/>
              </w:rPr>
              <w:t>170</w:t>
            </w:r>
            <w:r w:rsidR="00EB2D9F">
              <w:rPr>
                <w:sz w:val="28"/>
                <w:szCs w:val="28"/>
                <w:lang w:eastAsia="ru-RU"/>
              </w:rPr>
              <w:t>13,69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721370">
            <w:pPr>
              <w:spacing w:after="200" w:line="276" w:lineRule="auto"/>
              <w:jc w:val="center"/>
              <w:rPr>
                <w:sz w:val="28"/>
                <w:szCs w:val="28"/>
              </w:rPr>
            </w:pPr>
            <w:r>
              <w:rPr>
                <w:sz w:val="28"/>
                <w:szCs w:val="28"/>
                <w:lang w:eastAsia="ru-RU"/>
              </w:rPr>
              <w:t>8740,2</w:t>
            </w:r>
          </w:p>
        </w:tc>
        <w:tc>
          <w:tcPr>
            <w:tcW w:w="1808" w:type="dxa"/>
            <w:vAlign w:val="center"/>
          </w:tcPr>
          <w:p w:rsidR="008739C0" w:rsidRPr="00B56448" w:rsidRDefault="008739C0" w:rsidP="00721370">
            <w:pPr>
              <w:spacing w:after="200" w:line="276" w:lineRule="auto"/>
              <w:jc w:val="center"/>
              <w:rPr>
                <w:sz w:val="28"/>
                <w:szCs w:val="28"/>
              </w:rPr>
            </w:pPr>
            <w:r w:rsidRPr="00B56448">
              <w:rPr>
                <w:sz w:val="28"/>
                <w:szCs w:val="28"/>
                <w:lang w:eastAsia="ru-RU"/>
              </w:rPr>
              <w:t>6767,9</w:t>
            </w:r>
          </w:p>
        </w:tc>
        <w:tc>
          <w:tcPr>
            <w:tcW w:w="1231" w:type="dxa"/>
            <w:vAlign w:val="center"/>
          </w:tcPr>
          <w:p w:rsidR="008739C0" w:rsidRPr="009C0E33" w:rsidRDefault="008739C0" w:rsidP="00721370">
            <w:pPr>
              <w:spacing w:after="200" w:line="276" w:lineRule="auto"/>
              <w:jc w:val="center"/>
              <w:rPr>
                <w:sz w:val="28"/>
                <w:szCs w:val="28"/>
              </w:rPr>
            </w:pPr>
            <w:r>
              <w:rPr>
                <w:sz w:val="28"/>
                <w:szCs w:val="28"/>
              </w:rPr>
              <w:t>282,0</w:t>
            </w:r>
          </w:p>
        </w:tc>
        <w:tc>
          <w:tcPr>
            <w:tcW w:w="1699" w:type="dxa"/>
            <w:vAlign w:val="center"/>
          </w:tcPr>
          <w:p w:rsidR="008739C0" w:rsidRPr="009C0E33" w:rsidRDefault="008739C0" w:rsidP="00721370">
            <w:pPr>
              <w:spacing w:after="200" w:line="276" w:lineRule="auto"/>
              <w:jc w:val="center"/>
              <w:rPr>
                <w:sz w:val="28"/>
                <w:szCs w:val="28"/>
              </w:rPr>
            </w:pPr>
            <w:r>
              <w:rPr>
                <w:sz w:val="28"/>
                <w:szCs w:val="28"/>
              </w:rPr>
              <w:t>1690,3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lastRenderedPageBreak/>
              <w:t>2020</w:t>
            </w:r>
          </w:p>
        </w:tc>
        <w:tc>
          <w:tcPr>
            <w:tcW w:w="1336" w:type="dxa"/>
            <w:vAlign w:val="center"/>
          </w:tcPr>
          <w:p w:rsidR="009132D4" w:rsidRPr="009C0E33" w:rsidRDefault="009132D4" w:rsidP="00303D1E">
            <w:pPr>
              <w:spacing w:after="200" w:line="276" w:lineRule="auto"/>
              <w:jc w:val="center"/>
              <w:rPr>
                <w:sz w:val="28"/>
                <w:szCs w:val="28"/>
              </w:rPr>
            </w:pPr>
            <w:r>
              <w:rPr>
                <w:sz w:val="28"/>
                <w:szCs w:val="28"/>
              </w:rPr>
              <w:t>19 380,99</w:t>
            </w:r>
          </w:p>
        </w:tc>
        <w:tc>
          <w:tcPr>
            <w:tcW w:w="1808" w:type="dxa"/>
            <w:vAlign w:val="center"/>
          </w:tcPr>
          <w:p w:rsidR="009132D4" w:rsidRPr="009C0E33" w:rsidRDefault="009132D4" w:rsidP="00303D1E">
            <w:pPr>
              <w:spacing w:after="200" w:line="276" w:lineRule="auto"/>
              <w:jc w:val="center"/>
              <w:rPr>
                <w:sz w:val="28"/>
                <w:szCs w:val="28"/>
              </w:rPr>
            </w:pPr>
            <w:r>
              <w:rPr>
                <w:sz w:val="28"/>
                <w:szCs w:val="28"/>
              </w:rPr>
              <w:t>15 790,1</w:t>
            </w:r>
          </w:p>
        </w:tc>
        <w:tc>
          <w:tcPr>
            <w:tcW w:w="1231" w:type="dxa"/>
            <w:vAlign w:val="center"/>
          </w:tcPr>
          <w:p w:rsidR="009132D4" w:rsidRPr="009C0E33" w:rsidRDefault="009132D4" w:rsidP="00303D1E">
            <w:pPr>
              <w:spacing w:after="200" w:line="276" w:lineRule="auto"/>
              <w:jc w:val="center"/>
              <w:rPr>
                <w:sz w:val="28"/>
                <w:szCs w:val="28"/>
              </w:rPr>
            </w:pPr>
            <w:r>
              <w:rPr>
                <w:sz w:val="28"/>
                <w:szCs w:val="28"/>
              </w:rPr>
              <w:t>657,99</w:t>
            </w:r>
          </w:p>
        </w:tc>
        <w:tc>
          <w:tcPr>
            <w:tcW w:w="1699" w:type="dxa"/>
            <w:vAlign w:val="center"/>
          </w:tcPr>
          <w:p w:rsidR="009132D4" w:rsidRPr="009C0E33" w:rsidRDefault="009132D4" w:rsidP="00303D1E">
            <w:pPr>
              <w:spacing w:after="200" w:line="276" w:lineRule="auto"/>
              <w:jc w:val="center"/>
              <w:rPr>
                <w:sz w:val="28"/>
                <w:szCs w:val="28"/>
              </w:rPr>
            </w:pPr>
            <w:r>
              <w:rPr>
                <w:sz w:val="28"/>
                <w:szCs w:val="28"/>
              </w:rPr>
              <w:t>2 932,9</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EB2D9F" w:rsidP="00721370">
            <w:pPr>
              <w:jc w:val="center"/>
              <w:rPr>
                <w:sz w:val="28"/>
                <w:szCs w:val="28"/>
                <w:lang w:eastAsia="ru-RU"/>
              </w:rPr>
            </w:pPr>
            <w:r>
              <w:rPr>
                <w:sz w:val="28"/>
                <w:szCs w:val="28"/>
                <w:lang w:eastAsia="ru-RU"/>
              </w:rPr>
              <w:t>88524,58</w:t>
            </w:r>
          </w:p>
        </w:tc>
        <w:tc>
          <w:tcPr>
            <w:tcW w:w="1808" w:type="dxa"/>
            <w:vAlign w:val="center"/>
          </w:tcPr>
          <w:p w:rsidR="00EB2D9F" w:rsidRPr="009132D4" w:rsidRDefault="00EB2D9F" w:rsidP="00721370">
            <w:pPr>
              <w:jc w:val="center"/>
              <w:rPr>
                <w:sz w:val="28"/>
                <w:szCs w:val="28"/>
                <w:lang w:eastAsia="ru-RU"/>
              </w:rPr>
            </w:pPr>
            <w:r>
              <w:rPr>
                <w:sz w:val="28"/>
                <w:szCs w:val="28"/>
                <w:lang w:eastAsia="ru-RU"/>
              </w:rPr>
              <w:t>67567,4</w:t>
            </w:r>
          </w:p>
        </w:tc>
        <w:tc>
          <w:tcPr>
            <w:tcW w:w="1231" w:type="dxa"/>
            <w:vAlign w:val="center"/>
          </w:tcPr>
          <w:p w:rsidR="00EB2D9F" w:rsidRDefault="00EB2D9F" w:rsidP="00721370">
            <w:pPr>
              <w:spacing w:after="200" w:line="276" w:lineRule="auto"/>
              <w:jc w:val="center"/>
              <w:rPr>
                <w:sz w:val="28"/>
                <w:szCs w:val="28"/>
                <w:lang w:eastAsia="ru-RU"/>
              </w:rPr>
            </w:pPr>
          </w:p>
          <w:p w:rsidR="00EB2D9F" w:rsidRPr="009132D4" w:rsidRDefault="00EB2D9F" w:rsidP="00721370">
            <w:pPr>
              <w:spacing w:after="200" w:line="276" w:lineRule="auto"/>
              <w:jc w:val="center"/>
              <w:rPr>
                <w:sz w:val="28"/>
                <w:szCs w:val="28"/>
              </w:rPr>
            </w:pPr>
            <w:r>
              <w:rPr>
                <w:sz w:val="28"/>
                <w:szCs w:val="28"/>
                <w:lang w:eastAsia="ru-RU"/>
              </w:rPr>
              <w:t>3943,49</w:t>
            </w:r>
          </w:p>
        </w:tc>
        <w:tc>
          <w:tcPr>
            <w:tcW w:w="1699" w:type="dxa"/>
            <w:vAlign w:val="center"/>
          </w:tcPr>
          <w:p w:rsidR="00EB2D9F" w:rsidRPr="009132D4" w:rsidRDefault="00EB2D9F" w:rsidP="00721370">
            <w:pPr>
              <w:jc w:val="center"/>
              <w:rPr>
                <w:sz w:val="28"/>
                <w:szCs w:val="28"/>
                <w:lang w:eastAsia="ru-RU"/>
              </w:rPr>
            </w:pPr>
            <w:r>
              <w:rPr>
                <w:sz w:val="28"/>
                <w:szCs w:val="28"/>
                <w:lang w:eastAsia="ru-RU"/>
              </w:rPr>
              <w:t>17013,69</w:t>
            </w:r>
          </w:p>
        </w:tc>
        <w:tc>
          <w:tcPr>
            <w:tcW w:w="1588" w:type="dxa"/>
            <w:vAlign w:val="center"/>
          </w:tcPr>
          <w:p w:rsidR="00EB2D9F" w:rsidRPr="009132D4" w:rsidRDefault="00EB2D9F" w:rsidP="00721370">
            <w:pPr>
              <w:jc w:val="center"/>
              <w:rPr>
                <w:sz w:val="28"/>
                <w:szCs w:val="28"/>
                <w:lang w:eastAsia="ru-RU"/>
              </w:rPr>
            </w:pPr>
            <w:r>
              <w:rPr>
                <w:sz w:val="28"/>
                <w:szCs w:val="28"/>
                <w:lang w:eastAsia="ru-RU"/>
              </w:rPr>
              <w:t>88524,58</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721370" w:rsidRDefault="00721370"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w:t>
      </w:r>
      <w:r w:rsidRPr="009C0E33">
        <w:rPr>
          <w:rFonts w:ascii="Times New Roman" w:eastAsia="Times New Roman" w:hAnsi="Times New Roman" w:cs="Times New Roman"/>
          <w:sz w:val="28"/>
          <w:szCs w:val="24"/>
          <w:lang w:eastAsia="ru-RU"/>
        </w:rPr>
        <w:lastRenderedPageBreak/>
        <w:t>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721370">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721370">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396"/>
        <w:gridCol w:w="7229"/>
        <w:gridCol w:w="2125"/>
      </w:tblGrid>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125" w:type="dxa"/>
            <w:tcBorders>
              <w:top w:val="single" w:sz="4" w:space="0" w:color="auto"/>
              <w:left w:val="single" w:sz="4" w:space="0" w:color="auto"/>
              <w:bottom w:val="single" w:sz="4" w:space="0" w:color="auto"/>
            </w:tcBorders>
          </w:tcPr>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w:t>
            </w:r>
            <w:r w:rsidR="00A70988">
              <w:rPr>
                <w:rFonts w:ascii="Times New Roman CYR" w:eastAsia="PMingLiU" w:hAnsi="Times New Roman CYR" w:cs="Times New Roman CYR"/>
                <w:sz w:val="24"/>
                <w:szCs w:val="24"/>
              </w:rPr>
              <w:t xml:space="preserve">овый период реализации работ по </w:t>
            </w:r>
            <w:r w:rsidRPr="009C0E33">
              <w:rPr>
                <w:rFonts w:ascii="Times New Roman CYR" w:eastAsia="PMingLiU" w:hAnsi="Times New Roman CYR" w:cs="Times New Roman CYR"/>
                <w:sz w:val="24"/>
                <w:szCs w:val="24"/>
              </w:rPr>
              <w:t>благоустройству</w:t>
            </w:r>
          </w:p>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tabs>
                <w:tab w:val="left" w:pos="-262"/>
              </w:tabs>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12"/>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721370">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5559"/>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0B4531">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FD6842">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tabs>
                <w:tab w:val="left" w:pos="5984"/>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83618A" w:rsidRPr="009C0E33" w:rsidRDefault="0083618A"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515B">
        <w:trPr>
          <w:trHeight w:val="1108"/>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68695A"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F5601F">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83618A" w:rsidRPr="009C0E33" w:rsidRDefault="00F5601F"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2E515B" w:rsidRPr="009C0E33" w:rsidTr="002E515B">
        <w:trPr>
          <w:trHeight w:val="895"/>
          <w:jc w:val="center"/>
        </w:trPr>
        <w:tc>
          <w:tcPr>
            <w:tcW w:w="562" w:type="dxa"/>
            <w:tcBorders>
              <w:top w:val="single" w:sz="4" w:space="0" w:color="auto"/>
              <w:bottom w:val="single" w:sz="4" w:space="0" w:color="auto"/>
              <w:right w:val="single" w:sz="4" w:space="0" w:color="auto"/>
            </w:tcBorders>
          </w:tcPr>
          <w:p w:rsidR="002E515B" w:rsidRPr="009C0E33" w:rsidRDefault="002E515B" w:rsidP="002E515B">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7229"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2E515B" w:rsidRPr="009C0E33" w:rsidRDefault="002E515B" w:rsidP="002E515B">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087B5C" w:rsidRPr="009C0E33" w:rsidTr="00087B5C">
        <w:trPr>
          <w:trHeight w:val="675"/>
          <w:jc w:val="center"/>
        </w:trPr>
        <w:tc>
          <w:tcPr>
            <w:tcW w:w="562" w:type="dxa"/>
            <w:tcBorders>
              <w:top w:val="single" w:sz="4" w:space="0" w:color="auto"/>
              <w:bottom w:val="single" w:sz="4" w:space="0" w:color="auto"/>
              <w:right w:val="single" w:sz="4" w:space="0" w:color="auto"/>
            </w:tcBorders>
          </w:tcPr>
          <w:p w:rsidR="00087B5C" w:rsidRPr="009C0E33" w:rsidRDefault="002E515B"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0B453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39"/>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0B4531">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087B5C" w:rsidRPr="009C0E33" w:rsidTr="00087B5C">
        <w:trPr>
          <w:trHeight w:val="855"/>
          <w:jc w:val="center"/>
        </w:trPr>
        <w:tc>
          <w:tcPr>
            <w:tcW w:w="562" w:type="dxa"/>
            <w:tcBorders>
              <w:top w:val="single" w:sz="4" w:space="0" w:color="auto"/>
              <w:bottom w:val="single" w:sz="4" w:space="0" w:color="auto"/>
              <w:right w:val="single" w:sz="4" w:space="0" w:color="auto"/>
            </w:tcBorders>
          </w:tcPr>
          <w:p w:rsidR="00087B5C" w:rsidRPr="009C0E33" w:rsidRDefault="002E515B"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0B453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102"/>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B15E70" w:rsidRPr="009C0E33" w:rsidTr="0083618A">
        <w:trPr>
          <w:trHeight w:val="273"/>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right="21"/>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right="29"/>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0B453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ст. Новоджерелиевской </w:t>
            </w:r>
            <w:r w:rsidRPr="009C0E33">
              <w:rPr>
                <w:rFonts w:ascii="Times New Roman" w:eastAsia="Times New Roman" w:hAnsi="Times New Roman" w:cs="Times New Roman"/>
                <w:sz w:val="24"/>
                <w:szCs w:val="24"/>
                <w:lang w:eastAsia="ru-RU"/>
              </w:rPr>
              <w:lastRenderedPageBreak/>
              <w:t>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lastRenderedPageBreak/>
              <w:t xml:space="preserve">Адресный ориентир: от ДК до д/с «Ягодка» в ст. Новоджерелиевской </w:t>
            </w:r>
            <w:r w:rsidRPr="009C0E33">
              <w:rPr>
                <w:rFonts w:asciiTheme="majorBidi" w:hAnsiTheme="majorBidi" w:cstheme="majorBidi"/>
              </w:rPr>
              <w:lastRenderedPageBreak/>
              <w:t>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2022</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0B453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4396" w:type="dxa"/>
            <w:tcBorders>
              <w:top w:val="single" w:sz="4" w:space="0" w:color="auto"/>
              <w:left w:val="single" w:sz="4" w:space="0" w:color="auto"/>
              <w:bottom w:val="single" w:sz="4" w:space="0" w:color="auto"/>
              <w:right w:val="single" w:sz="4" w:space="0" w:color="auto"/>
            </w:tcBorders>
            <w:vAlign w:val="center"/>
          </w:tcPr>
          <w:p w:rsidR="00B15E70" w:rsidRPr="009C0E33" w:rsidRDefault="00B15E70" w:rsidP="00B15E70">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0B453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688"/>
              </w:tabs>
              <w:autoSpaceDE w:val="0"/>
              <w:autoSpaceDN w:val="0"/>
              <w:adjustRightInd w:val="0"/>
              <w:spacing w:after="0" w:line="240" w:lineRule="auto"/>
              <w:ind w:right="21"/>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0B453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0B453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0B453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0B453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B15E70">
        <w:trPr>
          <w:trHeight w:val="696"/>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2125" w:type="dxa"/>
            <w:tcBorders>
              <w:top w:val="single" w:sz="4" w:space="0" w:color="auto"/>
              <w:left w:val="single" w:sz="4" w:space="0" w:color="auto"/>
              <w:bottom w:val="single" w:sz="4" w:space="0" w:color="auto"/>
            </w:tcBorders>
          </w:tcPr>
          <w:p w:rsidR="00B15E70" w:rsidRPr="00FB6725"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2932" w:rsidRDefault="00992932"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B453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B453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B453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045430">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B453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0B453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0B4531">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B453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0B453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0B4531">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0B453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0B453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D2" w:rsidRDefault="005D46D2" w:rsidP="00AA4030">
      <w:pPr>
        <w:spacing w:after="0" w:line="240" w:lineRule="auto"/>
      </w:pPr>
      <w:r>
        <w:separator/>
      </w:r>
    </w:p>
  </w:endnote>
  <w:endnote w:type="continuationSeparator" w:id="0">
    <w:p w:rsidR="005D46D2" w:rsidRDefault="005D46D2"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D2" w:rsidRDefault="005D46D2" w:rsidP="00AA4030">
      <w:pPr>
        <w:spacing w:after="0" w:line="240" w:lineRule="auto"/>
      </w:pPr>
      <w:r>
        <w:separator/>
      </w:r>
    </w:p>
  </w:footnote>
  <w:footnote w:type="continuationSeparator" w:id="0">
    <w:p w:rsidR="005D46D2" w:rsidRDefault="005D46D2" w:rsidP="00AA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69976"/>
      <w:docPartObj>
        <w:docPartGallery w:val="Page Numbers (Top of Page)"/>
        <w:docPartUnique/>
      </w:docPartObj>
    </w:sdtPr>
    <w:sdtEndPr/>
    <w:sdtContent>
      <w:p w:rsidR="00721370" w:rsidRDefault="00721370">
        <w:pPr>
          <w:pStyle w:val="ab"/>
          <w:jc w:val="center"/>
        </w:pPr>
        <w:r>
          <w:rPr>
            <w:noProof/>
          </w:rPr>
          <w:fldChar w:fldCharType="begin"/>
        </w:r>
        <w:r>
          <w:rPr>
            <w:noProof/>
          </w:rPr>
          <w:instrText>PAGE   \* MERGEFORMAT</w:instrText>
        </w:r>
        <w:r>
          <w:rPr>
            <w:noProof/>
          </w:rPr>
          <w:fldChar w:fldCharType="separate"/>
        </w:r>
        <w:r w:rsidR="004E4828">
          <w:rPr>
            <w:noProof/>
          </w:rPr>
          <w:t>2</w:t>
        </w:r>
        <w:r>
          <w:rPr>
            <w:noProof/>
          </w:rPr>
          <w:fldChar w:fldCharType="end"/>
        </w:r>
      </w:p>
    </w:sdtContent>
  </w:sdt>
  <w:p w:rsidR="00721370" w:rsidRDefault="0072137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21924"/>
    <w:rsid w:val="00023152"/>
    <w:rsid w:val="00024641"/>
    <w:rsid w:val="000274A2"/>
    <w:rsid w:val="00030C37"/>
    <w:rsid w:val="00031979"/>
    <w:rsid w:val="00032E44"/>
    <w:rsid w:val="00033495"/>
    <w:rsid w:val="00035C85"/>
    <w:rsid w:val="00045430"/>
    <w:rsid w:val="00045D8E"/>
    <w:rsid w:val="00052BE3"/>
    <w:rsid w:val="00055CE2"/>
    <w:rsid w:val="00057A80"/>
    <w:rsid w:val="0006022D"/>
    <w:rsid w:val="000643E0"/>
    <w:rsid w:val="00066A09"/>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4531"/>
    <w:rsid w:val="000B67F2"/>
    <w:rsid w:val="000C0048"/>
    <w:rsid w:val="000C15B6"/>
    <w:rsid w:val="000C2666"/>
    <w:rsid w:val="000C3BDE"/>
    <w:rsid w:val="000C7A35"/>
    <w:rsid w:val="000C7D03"/>
    <w:rsid w:val="000D2AFB"/>
    <w:rsid w:val="000E275D"/>
    <w:rsid w:val="000E3F25"/>
    <w:rsid w:val="000E5B98"/>
    <w:rsid w:val="000E662F"/>
    <w:rsid w:val="000E6697"/>
    <w:rsid w:val="000F395B"/>
    <w:rsid w:val="000F5238"/>
    <w:rsid w:val="000F5423"/>
    <w:rsid w:val="000F5907"/>
    <w:rsid w:val="00100033"/>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4DB8"/>
    <w:rsid w:val="00156A8C"/>
    <w:rsid w:val="00157CAE"/>
    <w:rsid w:val="00162D85"/>
    <w:rsid w:val="001630CF"/>
    <w:rsid w:val="00163784"/>
    <w:rsid w:val="0018173C"/>
    <w:rsid w:val="0019171F"/>
    <w:rsid w:val="00192657"/>
    <w:rsid w:val="00192E41"/>
    <w:rsid w:val="001943D5"/>
    <w:rsid w:val="001958C6"/>
    <w:rsid w:val="001A1201"/>
    <w:rsid w:val="001A1C1E"/>
    <w:rsid w:val="001B5D7D"/>
    <w:rsid w:val="001B5ED2"/>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603E0"/>
    <w:rsid w:val="00260845"/>
    <w:rsid w:val="002624B6"/>
    <w:rsid w:val="002676FB"/>
    <w:rsid w:val="00273E14"/>
    <w:rsid w:val="00275BC1"/>
    <w:rsid w:val="00276698"/>
    <w:rsid w:val="00280464"/>
    <w:rsid w:val="0028423F"/>
    <w:rsid w:val="00287CFB"/>
    <w:rsid w:val="00287F4B"/>
    <w:rsid w:val="00291891"/>
    <w:rsid w:val="0029295A"/>
    <w:rsid w:val="00293BED"/>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E125E"/>
    <w:rsid w:val="002E42F6"/>
    <w:rsid w:val="002E515B"/>
    <w:rsid w:val="002F448E"/>
    <w:rsid w:val="002F4D86"/>
    <w:rsid w:val="002F60CA"/>
    <w:rsid w:val="002F66AB"/>
    <w:rsid w:val="002F75F4"/>
    <w:rsid w:val="002F7AA0"/>
    <w:rsid w:val="003009DD"/>
    <w:rsid w:val="00300A71"/>
    <w:rsid w:val="00303D1E"/>
    <w:rsid w:val="0030443F"/>
    <w:rsid w:val="0030472A"/>
    <w:rsid w:val="00305B44"/>
    <w:rsid w:val="00306AC5"/>
    <w:rsid w:val="0030748B"/>
    <w:rsid w:val="003079B4"/>
    <w:rsid w:val="00311082"/>
    <w:rsid w:val="00311B66"/>
    <w:rsid w:val="003121B6"/>
    <w:rsid w:val="00312447"/>
    <w:rsid w:val="0031291F"/>
    <w:rsid w:val="00317097"/>
    <w:rsid w:val="00336814"/>
    <w:rsid w:val="0034103C"/>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3C15"/>
    <w:rsid w:val="00397F8B"/>
    <w:rsid w:val="003A00A1"/>
    <w:rsid w:val="003A1627"/>
    <w:rsid w:val="003A293A"/>
    <w:rsid w:val="003A393F"/>
    <w:rsid w:val="003A434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33EE3"/>
    <w:rsid w:val="00445AAF"/>
    <w:rsid w:val="0044622E"/>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E37"/>
    <w:rsid w:val="004A0E49"/>
    <w:rsid w:val="004A3976"/>
    <w:rsid w:val="004A3E26"/>
    <w:rsid w:val="004A66CD"/>
    <w:rsid w:val="004A6FF1"/>
    <w:rsid w:val="004B06E7"/>
    <w:rsid w:val="004B0CBD"/>
    <w:rsid w:val="004B2827"/>
    <w:rsid w:val="004B33E2"/>
    <w:rsid w:val="004B48C7"/>
    <w:rsid w:val="004B5C7E"/>
    <w:rsid w:val="004B7518"/>
    <w:rsid w:val="004C1082"/>
    <w:rsid w:val="004C3B95"/>
    <w:rsid w:val="004D28DE"/>
    <w:rsid w:val="004D3F4B"/>
    <w:rsid w:val="004D7E12"/>
    <w:rsid w:val="004E0E46"/>
    <w:rsid w:val="004E3397"/>
    <w:rsid w:val="004E3F6A"/>
    <w:rsid w:val="004E4828"/>
    <w:rsid w:val="004E4B10"/>
    <w:rsid w:val="004E739F"/>
    <w:rsid w:val="004F2170"/>
    <w:rsid w:val="004F2D28"/>
    <w:rsid w:val="004F2FCF"/>
    <w:rsid w:val="004F31CB"/>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7196"/>
    <w:rsid w:val="005172DC"/>
    <w:rsid w:val="00520BA0"/>
    <w:rsid w:val="005235EE"/>
    <w:rsid w:val="00524B32"/>
    <w:rsid w:val="0052703A"/>
    <w:rsid w:val="00534012"/>
    <w:rsid w:val="005359FA"/>
    <w:rsid w:val="00540353"/>
    <w:rsid w:val="00543BD6"/>
    <w:rsid w:val="00543F65"/>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46D2"/>
    <w:rsid w:val="005D48A3"/>
    <w:rsid w:val="005D540D"/>
    <w:rsid w:val="005D631C"/>
    <w:rsid w:val="005E09E7"/>
    <w:rsid w:val="005E0F44"/>
    <w:rsid w:val="005E241D"/>
    <w:rsid w:val="005E278C"/>
    <w:rsid w:val="005E5292"/>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4532"/>
    <w:rsid w:val="0068695A"/>
    <w:rsid w:val="00692443"/>
    <w:rsid w:val="006A2665"/>
    <w:rsid w:val="006A3F8D"/>
    <w:rsid w:val="006B0108"/>
    <w:rsid w:val="006B0248"/>
    <w:rsid w:val="006B558D"/>
    <w:rsid w:val="006C1ED4"/>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1370"/>
    <w:rsid w:val="00722566"/>
    <w:rsid w:val="00722C56"/>
    <w:rsid w:val="00723960"/>
    <w:rsid w:val="007245B3"/>
    <w:rsid w:val="00724AA4"/>
    <w:rsid w:val="00724FCA"/>
    <w:rsid w:val="0072548C"/>
    <w:rsid w:val="0072602F"/>
    <w:rsid w:val="00726A41"/>
    <w:rsid w:val="00727D60"/>
    <w:rsid w:val="00727DCB"/>
    <w:rsid w:val="00730C48"/>
    <w:rsid w:val="00731E93"/>
    <w:rsid w:val="0073218E"/>
    <w:rsid w:val="00734C6F"/>
    <w:rsid w:val="007373FA"/>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E66"/>
    <w:rsid w:val="007701DC"/>
    <w:rsid w:val="0077359F"/>
    <w:rsid w:val="00773CB2"/>
    <w:rsid w:val="007757DC"/>
    <w:rsid w:val="00776FC8"/>
    <w:rsid w:val="0078001F"/>
    <w:rsid w:val="00780052"/>
    <w:rsid w:val="00782AFA"/>
    <w:rsid w:val="0078374B"/>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194F"/>
    <w:rsid w:val="007C2AAF"/>
    <w:rsid w:val="007C4E0A"/>
    <w:rsid w:val="007C530D"/>
    <w:rsid w:val="007C6DDD"/>
    <w:rsid w:val="007D06F7"/>
    <w:rsid w:val="007D090E"/>
    <w:rsid w:val="007D3021"/>
    <w:rsid w:val="007D5CAF"/>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176A"/>
    <w:rsid w:val="00815455"/>
    <w:rsid w:val="00817D5C"/>
    <w:rsid w:val="00821B1A"/>
    <w:rsid w:val="0082253D"/>
    <w:rsid w:val="00822C6B"/>
    <w:rsid w:val="00823E82"/>
    <w:rsid w:val="00826400"/>
    <w:rsid w:val="008266A6"/>
    <w:rsid w:val="00827B27"/>
    <w:rsid w:val="008304DA"/>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6E18"/>
    <w:rsid w:val="00897268"/>
    <w:rsid w:val="00897D35"/>
    <w:rsid w:val="008A2217"/>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63EE"/>
    <w:rsid w:val="008F1A47"/>
    <w:rsid w:val="008F3167"/>
    <w:rsid w:val="008F3322"/>
    <w:rsid w:val="008F4282"/>
    <w:rsid w:val="008F5129"/>
    <w:rsid w:val="008F5BB1"/>
    <w:rsid w:val="008F60E9"/>
    <w:rsid w:val="008F7975"/>
    <w:rsid w:val="0090297D"/>
    <w:rsid w:val="0090537D"/>
    <w:rsid w:val="0090589C"/>
    <w:rsid w:val="00905C26"/>
    <w:rsid w:val="009119A0"/>
    <w:rsid w:val="009132D4"/>
    <w:rsid w:val="009132E3"/>
    <w:rsid w:val="00915DDC"/>
    <w:rsid w:val="009168FB"/>
    <w:rsid w:val="009171B0"/>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2932"/>
    <w:rsid w:val="00997EDA"/>
    <w:rsid w:val="009A0A00"/>
    <w:rsid w:val="009A1608"/>
    <w:rsid w:val="009A21DE"/>
    <w:rsid w:val="009A71CA"/>
    <w:rsid w:val="009B01B4"/>
    <w:rsid w:val="009B2CF8"/>
    <w:rsid w:val="009B558C"/>
    <w:rsid w:val="009B7830"/>
    <w:rsid w:val="009C068C"/>
    <w:rsid w:val="009C0E33"/>
    <w:rsid w:val="009C4047"/>
    <w:rsid w:val="009D0761"/>
    <w:rsid w:val="009D48F6"/>
    <w:rsid w:val="009D6459"/>
    <w:rsid w:val="009E288D"/>
    <w:rsid w:val="009E6641"/>
    <w:rsid w:val="009F026B"/>
    <w:rsid w:val="009F10BD"/>
    <w:rsid w:val="00A01BA9"/>
    <w:rsid w:val="00A02004"/>
    <w:rsid w:val="00A021F4"/>
    <w:rsid w:val="00A07DDD"/>
    <w:rsid w:val="00A124B9"/>
    <w:rsid w:val="00A12515"/>
    <w:rsid w:val="00A125B9"/>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EE0"/>
    <w:rsid w:val="00A70988"/>
    <w:rsid w:val="00A7272A"/>
    <w:rsid w:val="00A72AE7"/>
    <w:rsid w:val="00A733B6"/>
    <w:rsid w:val="00A74167"/>
    <w:rsid w:val="00A7417B"/>
    <w:rsid w:val="00A74E74"/>
    <w:rsid w:val="00A75129"/>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7D23"/>
    <w:rsid w:val="00AC7D6E"/>
    <w:rsid w:val="00AD0E8D"/>
    <w:rsid w:val="00AD2354"/>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72C"/>
    <w:rsid w:val="00C208A0"/>
    <w:rsid w:val="00C236C2"/>
    <w:rsid w:val="00C27076"/>
    <w:rsid w:val="00C27999"/>
    <w:rsid w:val="00C31D61"/>
    <w:rsid w:val="00C34368"/>
    <w:rsid w:val="00C34F2E"/>
    <w:rsid w:val="00C36305"/>
    <w:rsid w:val="00C4368F"/>
    <w:rsid w:val="00C44591"/>
    <w:rsid w:val="00C44695"/>
    <w:rsid w:val="00C4530C"/>
    <w:rsid w:val="00C46EE2"/>
    <w:rsid w:val="00C4724E"/>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125A"/>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50D2"/>
    <w:rsid w:val="00D762C4"/>
    <w:rsid w:val="00D7776A"/>
    <w:rsid w:val="00D8573F"/>
    <w:rsid w:val="00D866CC"/>
    <w:rsid w:val="00D937F6"/>
    <w:rsid w:val="00D95DA7"/>
    <w:rsid w:val="00D9632C"/>
    <w:rsid w:val="00DA357B"/>
    <w:rsid w:val="00DA4258"/>
    <w:rsid w:val="00DA46DE"/>
    <w:rsid w:val="00DA7B4D"/>
    <w:rsid w:val="00DB122C"/>
    <w:rsid w:val="00DB19BE"/>
    <w:rsid w:val="00DB2C5A"/>
    <w:rsid w:val="00DB654C"/>
    <w:rsid w:val="00DB6FE0"/>
    <w:rsid w:val="00DB745F"/>
    <w:rsid w:val="00DB7A73"/>
    <w:rsid w:val="00DB7D7D"/>
    <w:rsid w:val="00DC063D"/>
    <w:rsid w:val="00DC1D3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1454"/>
    <w:rsid w:val="00E61EF9"/>
    <w:rsid w:val="00E6292D"/>
    <w:rsid w:val="00E639E5"/>
    <w:rsid w:val="00E66A8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7A27"/>
    <w:rsid w:val="00EE484A"/>
    <w:rsid w:val="00EE704D"/>
    <w:rsid w:val="00EF1B82"/>
    <w:rsid w:val="00EF4383"/>
    <w:rsid w:val="00EF4CB0"/>
    <w:rsid w:val="00EF7A02"/>
    <w:rsid w:val="00F021C5"/>
    <w:rsid w:val="00F02888"/>
    <w:rsid w:val="00F040D9"/>
    <w:rsid w:val="00F06948"/>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B0E7A"/>
    <w:rsid w:val="00FB1008"/>
    <w:rsid w:val="00FB24DB"/>
    <w:rsid w:val="00FB5575"/>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E0204"/>
    <w:rsid w:val="00FE124B"/>
    <w:rsid w:val="00FE1ED1"/>
    <w:rsid w:val="00FE3D5F"/>
    <w:rsid w:val="00FE50C9"/>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5D874"/>
  <w15:docId w15:val="{A3A55BB0-E291-414C-ACFF-D9BFC72C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CA9C-1DC1-484D-8769-FCAC684F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8738</Words>
  <Characters>49811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Shepotenko</cp:lastModifiedBy>
  <cp:revision>45</cp:revision>
  <cp:lastPrinted>2020-01-09T07:31:00Z</cp:lastPrinted>
  <dcterms:created xsi:type="dcterms:W3CDTF">2019-09-11T11:31:00Z</dcterms:created>
  <dcterms:modified xsi:type="dcterms:W3CDTF">2020-01-23T13:33:00Z</dcterms:modified>
</cp:coreProperties>
</file>