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A9" w:rsidRPr="00471CC0" w:rsidRDefault="00653EA9" w:rsidP="008C191A">
      <w:pPr>
        <w:ind w:left="5103"/>
        <w:jc w:val="right"/>
        <w:rPr>
          <w:b/>
          <w:sz w:val="28"/>
          <w:szCs w:val="28"/>
        </w:rPr>
      </w:pPr>
      <w:bookmarkStart w:id="0" w:name="_GoBack"/>
      <w:bookmarkEnd w:id="0"/>
      <w:r w:rsidRPr="00471CC0">
        <w:rPr>
          <w:b/>
          <w:sz w:val="28"/>
          <w:szCs w:val="28"/>
        </w:rPr>
        <w:t>ПРОЕКТ</w:t>
      </w:r>
    </w:p>
    <w:p w:rsidR="002D5BB9" w:rsidRDefault="002D5BB9" w:rsidP="002D5BB9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АДМИНИСТРАЦИЯ </w:t>
      </w:r>
    </w:p>
    <w:p w:rsidR="002D5BB9" w:rsidRDefault="002D5BB9" w:rsidP="002D5BB9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НОВОДЖЕРЕЛИЕВСКОГО СЕЛЬСКОГО ПОСЕЛЕНИЯ</w:t>
      </w:r>
    </w:p>
    <w:p w:rsidR="002D5BB9" w:rsidRDefault="002D5BB9" w:rsidP="002D5BB9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БРЮХОВЕЦКОГО РАЙОНА</w:t>
      </w:r>
    </w:p>
    <w:p w:rsidR="002D5BB9" w:rsidRDefault="002D5BB9" w:rsidP="002D5BB9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2D5BB9" w:rsidRDefault="002D5BB9" w:rsidP="002D5BB9">
      <w:pPr>
        <w:tabs>
          <w:tab w:val="left" w:pos="4678"/>
        </w:tabs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2D5BB9" w:rsidRDefault="002D5BB9" w:rsidP="002D5BB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jc w:val="center"/>
        <w:rPr>
          <w:sz w:val="28"/>
          <w:szCs w:val="28"/>
          <w:lang w:eastAsia="ru-RU"/>
        </w:rPr>
      </w:pPr>
    </w:p>
    <w:p w:rsidR="002D5BB9" w:rsidRDefault="002D5BB9" w:rsidP="002D5BB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___________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_____</w:t>
      </w:r>
    </w:p>
    <w:p w:rsidR="002D5BB9" w:rsidRDefault="002D5BB9" w:rsidP="002D5BB9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ст-ца Новоджерелиевская</w:t>
      </w:r>
    </w:p>
    <w:p w:rsidR="002D5BB9" w:rsidRDefault="002D5BB9" w:rsidP="002D5BB9">
      <w:pPr>
        <w:suppressAutoHyphens w:val="0"/>
        <w:jc w:val="center"/>
        <w:rPr>
          <w:sz w:val="28"/>
          <w:szCs w:val="28"/>
          <w:lang w:eastAsia="ru-RU"/>
        </w:rPr>
      </w:pPr>
    </w:p>
    <w:p w:rsidR="002D5BB9" w:rsidRDefault="002D5BB9" w:rsidP="002D5BB9">
      <w:pPr>
        <w:suppressAutoHyphens w:val="0"/>
        <w:jc w:val="center"/>
        <w:rPr>
          <w:sz w:val="28"/>
          <w:szCs w:val="28"/>
          <w:lang w:eastAsia="ru-RU"/>
        </w:rPr>
      </w:pPr>
    </w:p>
    <w:p w:rsidR="002D5BB9" w:rsidRDefault="002D5BB9" w:rsidP="002D5BB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</w:t>
      </w:r>
      <w:r>
        <w:rPr>
          <w:b/>
          <w:sz w:val="28"/>
          <w:lang w:eastAsia="ru-RU"/>
        </w:rPr>
        <w:t xml:space="preserve">муниципальной программы </w:t>
      </w:r>
      <w:r>
        <w:rPr>
          <w:b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«</w:t>
      </w:r>
      <w:r>
        <w:rPr>
          <w:b/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>
        <w:rPr>
          <w:b/>
          <w:sz w:val="28"/>
          <w:szCs w:val="28"/>
          <w:lang w:eastAsia="ru-RU"/>
        </w:rPr>
        <w:t>»</w:t>
      </w:r>
      <w:r>
        <w:rPr>
          <w:b/>
          <w:lang w:eastAsia="ru-RU"/>
        </w:rPr>
        <w:t xml:space="preserve"> </w:t>
      </w:r>
      <w:r>
        <w:rPr>
          <w:b/>
          <w:sz w:val="28"/>
          <w:lang w:eastAsia="ru-RU"/>
        </w:rPr>
        <w:t>на 2022-2024 годы</w:t>
      </w:r>
    </w:p>
    <w:p w:rsidR="002D5BB9" w:rsidRDefault="002D5BB9" w:rsidP="002D5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rPr>
          <w:b/>
          <w:sz w:val="28"/>
          <w:szCs w:val="28"/>
          <w:lang w:eastAsia="ru-RU"/>
        </w:rPr>
      </w:pPr>
    </w:p>
    <w:p w:rsidR="002D5BB9" w:rsidRDefault="002D5BB9" w:rsidP="002D5BB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 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  <w:lang w:eastAsia="ru-RU"/>
        </w:rPr>
        <w:t xml:space="preserve">, </w:t>
      </w:r>
      <w:r>
        <w:rPr>
          <w:sz w:val="28"/>
          <w:szCs w:val="28"/>
          <w:shd w:val="clear" w:color="auto" w:fill="FFFFFF"/>
          <w:lang w:eastAsia="ru-RU"/>
        </w:rPr>
        <w:br/>
        <w:t>п</w:t>
      </w:r>
      <w:r>
        <w:rPr>
          <w:sz w:val="28"/>
          <w:szCs w:val="28"/>
          <w:lang w:eastAsia="ru-RU"/>
        </w:rPr>
        <w:t xml:space="preserve"> о с </w:t>
      </w:r>
      <w:proofErr w:type="gramStart"/>
      <w:r>
        <w:rPr>
          <w:sz w:val="28"/>
          <w:szCs w:val="28"/>
          <w:lang w:eastAsia="ru-RU"/>
        </w:rPr>
        <w:t>т</w:t>
      </w:r>
      <w:proofErr w:type="gramEnd"/>
      <w:r>
        <w:rPr>
          <w:sz w:val="28"/>
          <w:szCs w:val="28"/>
          <w:lang w:eastAsia="ru-RU"/>
        </w:rPr>
        <w:t xml:space="preserve"> а н о в л я ю:</w:t>
      </w:r>
    </w:p>
    <w:p w:rsidR="002D5BB9" w:rsidRDefault="002D5BB9" w:rsidP="002D5BB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" w:name="sub_1"/>
      <w:r>
        <w:rPr>
          <w:sz w:val="28"/>
          <w:szCs w:val="28"/>
          <w:lang w:eastAsia="ru-RU"/>
        </w:rPr>
        <w:t>1. Утвердить</w:t>
      </w:r>
      <w:r w:rsidRPr="002D5BB9">
        <w:rPr>
          <w:szCs w:val="28"/>
          <w:lang w:eastAsia="ru-RU"/>
        </w:rPr>
        <w:t xml:space="preserve"> </w:t>
      </w:r>
      <w:r w:rsidRPr="002D5BB9">
        <w:rPr>
          <w:sz w:val="28"/>
          <w:szCs w:val="28"/>
          <w:lang w:eastAsia="ru-RU"/>
        </w:rPr>
        <w:t>муниципальную программу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Новоджерелиевского сельского поселения Брюховецкого района «</w:t>
      </w:r>
      <w:r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>
        <w:rPr>
          <w:sz w:val="28"/>
          <w:szCs w:val="28"/>
          <w:lang w:eastAsia="ru-RU"/>
        </w:rPr>
        <w:t>»</w:t>
      </w:r>
      <w:r>
        <w:rPr>
          <w:lang w:eastAsia="ru-RU"/>
        </w:rPr>
        <w:t xml:space="preserve"> </w:t>
      </w:r>
      <w:r>
        <w:rPr>
          <w:sz w:val="28"/>
          <w:lang w:eastAsia="ru-RU"/>
        </w:rPr>
        <w:t xml:space="preserve">на 2022-2024 годы </w:t>
      </w:r>
      <w:r>
        <w:rPr>
          <w:sz w:val="28"/>
          <w:szCs w:val="28"/>
          <w:lang w:eastAsia="ru-RU"/>
        </w:rPr>
        <w:t>(приложение).</w:t>
      </w:r>
    </w:p>
    <w:p w:rsidR="00471CC0" w:rsidRDefault="00471CC0" w:rsidP="002D5BB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2. Главному специалисту администрации Новоджерелиевского сельского поселения Брюховецкого района Г.Б. Вельян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2D5BB9" w:rsidRDefault="00471CC0" w:rsidP="002D5BB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2" w:name="sub_5"/>
      <w:bookmarkEnd w:id="1"/>
      <w:r>
        <w:rPr>
          <w:sz w:val="28"/>
          <w:szCs w:val="28"/>
          <w:lang w:eastAsia="ru-RU"/>
        </w:rPr>
        <w:t>3</w:t>
      </w:r>
      <w:r w:rsidR="002D5BB9">
        <w:rPr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D5BB9" w:rsidRDefault="00471CC0" w:rsidP="002D5BB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D5BB9">
        <w:rPr>
          <w:sz w:val="28"/>
          <w:szCs w:val="28"/>
          <w:lang w:eastAsia="ru-RU"/>
        </w:rPr>
        <w:t xml:space="preserve">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2022 год», предусматривающего финансирование муниципальной программы </w:t>
      </w:r>
      <w:bookmarkEnd w:id="2"/>
      <w:r w:rsidR="002D5BB9">
        <w:rPr>
          <w:sz w:val="28"/>
          <w:szCs w:val="28"/>
          <w:lang w:eastAsia="ru-RU"/>
        </w:rPr>
        <w:t>«</w:t>
      </w:r>
      <w:r w:rsidR="002D5BB9"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2D5BB9">
        <w:rPr>
          <w:sz w:val="28"/>
          <w:szCs w:val="28"/>
          <w:lang w:eastAsia="ru-RU"/>
        </w:rPr>
        <w:t>»</w:t>
      </w:r>
      <w:r w:rsidR="002D5BB9">
        <w:rPr>
          <w:lang w:eastAsia="ru-RU"/>
        </w:rPr>
        <w:t xml:space="preserve"> </w:t>
      </w:r>
      <w:r w:rsidR="002D5BB9">
        <w:rPr>
          <w:sz w:val="28"/>
          <w:lang w:eastAsia="ru-RU"/>
        </w:rPr>
        <w:t>на 2022-2024 годы.</w:t>
      </w:r>
    </w:p>
    <w:p w:rsidR="002D5BB9" w:rsidRDefault="002D5BB9" w:rsidP="002D5BB9">
      <w:pPr>
        <w:suppressAutoHyphens w:val="0"/>
        <w:rPr>
          <w:sz w:val="28"/>
          <w:szCs w:val="28"/>
          <w:lang w:eastAsia="ru-RU"/>
        </w:rPr>
      </w:pPr>
    </w:p>
    <w:p w:rsidR="002D5BB9" w:rsidRDefault="002D5BB9" w:rsidP="002D5BB9">
      <w:pPr>
        <w:suppressAutoHyphens w:val="0"/>
        <w:rPr>
          <w:sz w:val="28"/>
          <w:szCs w:val="28"/>
          <w:lang w:eastAsia="ru-RU"/>
        </w:rPr>
      </w:pPr>
    </w:p>
    <w:p w:rsidR="002D5BB9" w:rsidRDefault="002D5BB9" w:rsidP="002D5BB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Новоджерелиевского</w:t>
      </w:r>
    </w:p>
    <w:p w:rsidR="002D5BB9" w:rsidRDefault="002D5BB9" w:rsidP="002D5BB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</w:p>
    <w:p w:rsidR="002D5BB9" w:rsidRDefault="002D5BB9" w:rsidP="002D5BB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Брюховецкого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О.В. Ткаченко</w:t>
      </w:r>
    </w:p>
    <w:p w:rsidR="00653EA9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71CC0">
        <w:rPr>
          <w:sz w:val="28"/>
          <w:szCs w:val="28"/>
        </w:rPr>
        <w:t>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от ____________ № _____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3" w:name="_Toc275261621"/>
      <w:bookmarkStart w:id="4" w:name="_Toc275180593"/>
      <w:bookmarkStart w:id="5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3"/>
      <w:bookmarkEnd w:id="4"/>
      <w:bookmarkEnd w:id="5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366677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4D7351" w:rsidRPr="00366677">
              <w:rPr>
                <w:rFonts w:ascii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21C" w:rsidRDefault="0076021C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366677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lastRenderedPageBreak/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645D25">
              <w:rPr>
                <w:sz w:val="28"/>
                <w:szCs w:val="28"/>
                <w:lang w:eastAsia="ru-RU"/>
              </w:rPr>
              <w:t xml:space="preserve"> </w:t>
            </w:r>
            <w:r w:rsidR="00645D25">
              <w:rPr>
                <w:sz w:val="28"/>
                <w:szCs w:val="28"/>
                <w:lang w:eastAsia="ru-RU"/>
              </w:rPr>
              <w:br/>
              <w:t>63,0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827C2E">
              <w:rPr>
                <w:sz w:val="28"/>
                <w:szCs w:val="28"/>
                <w:lang w:eastAsia="ru-RU"/>
              </w:rPr>
              <w:t xml:space="preserve"> 63,0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021C">
              <w:rPr>
                <w:sz w:val="28"/>
                <w:szCs w:val="28"/>
              </w:rPr>
              <w:t>23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76021C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 год – 21,0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645D25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18799E" w:rsidRPr="00366677">
              <w:rPr>
                <w:sz w:val="28"/>
                <w:szCs w:val="28"/>
              </w:rPr>
              <w:t xml:space="preserve">Защита населения и </w:t>
            </w:r>
            <w:r w:rsidR="00821AD3" w:rsidRPr="00366677">
              <w:rPr>
                <w:sz w:val="28"/>
                <w:szCs w:val="28"/>
              </w:rPr>
              <w:t>территорий Новоджерелиевского</w:t>
            </w:r>
            <w:r w:rsidR="0018799E" w:rsidRPr="00366677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99528B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645D25">
              <w:rPr>
                <w:snapToGrid w:val="0"/>
                <w:sz w:val="28"/>
                <w:szCs w:val="28"/>
              </w:rPr>
              <w:t>30,0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</w:t>
            </w:r>
            <w:r w:rsidR="003754E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10,0</w:t>
            </w:r>
            <w:r w:rsidR="00E9240C">
              <w:rPr>
                <w:sz w:val="28"/>
                <w:szCs w:val="28"/>
              </w:rPr>
              <w:t xml:space="preserve"> </w:t>
            </w:r>
            <w:r w:rsidR="000307DB" w:rsidRPr="00366677">
              <w:rPr>
                <w:sz w:val="28"/>
                <w:szCs w:val="28"/>
              </w:rPr>
              <w:t>тыс. рублей;</w:t>
            </w:r>
          </w:p>
          <w:p w:rsidR="000307DB" w:rsidRPr="00366677" w:rsidRDefault="00645D25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10,0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="000307DB" w:rsidRPr="00366677">
              <w:rPr>
                <w:sz w:val="28"/>
                <w:szCs w:val="28"/>
              </w:rPr>
              <w:t xml:space="preserve"> рублей.</w:t>
            </w:r>
          </w:p>
          <w:p w:rsidR="001D7BB6" w:rsidRPr="00366677" w:rsidRDefault="001D7BB6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2247EE" w:rsidRPr="00366677">
              <w:rPr>
                <w:sz w:val="28"/>
              </w:rPr>
              <w:t>:</w:t>
            </w:r>
            <w:r w:rsidR="00BD1F76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93651C" w:rsidRPr="00366677">
              <w:rPr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4B04C3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BD1F76">
              <w:rPr>
                <w:snapToGrid w:val="0"/>
                <w:sz w:val="28"/>
                <w:szCs w:val="28"/>
              </w:rPr>
              <w:t>15,0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BD1F76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BD1F76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5,0</w:t>
            </w:r>
            <w:r w:rsidR="00366677" w:rsidRPr="00366677">
              <w:rPr>
                <w:sz w:val="28"/>
                <w:szCs w:val="28"/>
              </w:rPr>
              <w:t>тыс.</w:t>
            </w:r>
            <w:r w:rsidR="000307DB" w:rsidRPr="00366677">
              <w:rPr>
                <w:sz w:val="28"/>
                <w:szCs w:val="28"/>
              </w:rPr>
              <w:t xml:space="preserve"> рублей;</w:t>
            </w:r>
          </w:p>
          <w:p w:rsidR="000307DB" w:rsidRPr="00366677" w:rsidRDefault="00BD1F76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5,0</w:t>
            </w:r>
            <w:r w:rsidR="000307DB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973933">
            <w:pPr>
              <w:widowControl w:val="0"/>
              <w:jc w:val="both"/>
              <w:rPr>
                <w:sz w:val="28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DA2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A2C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- оптимизация финансовых и материальных ресурсов органов местного </w:t>
      </w:r>
      <w:r w:rsidRPr="00203539">
        <w:rPr>
          <w:sz w:val="28"/>
          <w:szCs w:val="28"/>
        </w:rPr>
        <w:lastRenderedPageBreak/>
        <w:t>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6" w:name="YANDEX_861"/>
      <w:bookmarkStart w:id="7" w:name="YANDEX_862"/>
      <w:bookmarkStart w:id="8" w:name="YANDEX_863"/>
      <w:bookmarkStart w:id="9" w:name="YANDEX_864"/>
      <w:bookmarkEnd w:id="6"/>
      <w:bookmarkEnd w:id="7"/>
      <w:bookmarkEnd w:id="8"/>
      <w:bookmarkEnd w:id="9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10" w:name="YANDEX_911"/>
      <w:bookmarkStart w:id="11" w:name="YANDEX_912"/>
      <w:bookmarkStart w:id="12" w:name="YANDEX_913"/>
      <w:bookmarkStart w:id="13" w:name="YANDEX_914"/>
      <w:bookmarkEnd w:id="10"/>
      <w:bookmarkEnd w:id="11"/>
      <w:bookmarkEnd w:id="12"/>
      <w:bookmarkEnd w:id="13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C054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993" w:right="567" w:bottom="1134" w:left="1701" w:header="720" w:footer="720" w:gutter="0"/>
          <w:pgNumType w:start="1"/>
          <w:cols w:space="720"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DA2C66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 xml:space="preserve">на 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DA2C66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DA2C66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 xml:space="preserve">на 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821AD3"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95163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="00DA2C66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95163E" w:rsidP="0095163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</w:t>
            </w:r>
            <w:r w:rsidR="003328C4">
              <w:rPr>
                <w:rFonts w:ascii="Times New Roman" w:hAnsi="Times New Roman"/>
                <w:sz w:val="28"/>
                <w:szCs w:val="28"/>
              </w:rPr>
              <w:t xml:space="preserve">е пожарной безопасности» на </w:t>
            </w:r>
            <w:r w:rsidR="000262DB">
              <w:rPr>
                <w:rFonts w:ascii="Times New Roman" w:hAnsi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F26AC3" w:rsidRPr="00F26AC3" w:rsidRDefault="00BE5A7A" w:rsidP="00F26A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F26AC3">
              <w:rPr>
                <w:color w:val="000000"/>
                <w:sz w:val="28"/>
                <w:szCs w:val="28"/>
              </w:rPr>
              <w:t xml:space="preserve"> обеспечение</w:t>
            </w:r>
            <w:r w:rsidR="00F26AC3" w:rsidRPr="00F26AC3">
              <w:rPr>
                <w:color w:val="000000"/>
                <w:sz w:val="28"/>
                <w:szCs w:val="28"/>
              </w:rPr>
              <w:t xml:space="preserve">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Default="00F26AC3" w:rsidP="00F26AC3">
            <w:pPr>
              <w:jc w:val="both"/>
              <w:rPr>
                <w:sz w:val="28"/>
                <w:szCs w:val="28"/>
              </w:rPr>
            </w:pPr>
            <w:r w:rsidRPr="00F26AC3">
              <w:rPr>
                <w:color w:val="000000"/>
                <w:sz w:val="28"/>
                <w:szCs w:val="28"/>
              </w:rPr>
              <w:t>защиты жизни, здоровья и имущества граждан и юридических лиц от пожаров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3C1CF1" w:rsidP="00F26AC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пожарной безопасности на территории Новоджерелиевского сельского </w:t>
            </w:r>
            <w:proofErr w:type="spellStart"/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поселения;создание</w:t>
            </w:r>
            <w:proofErr w:type="spellEnd"/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необходимых условий для предупреждения и тушения пожаров; содействие распространению пожарно-технических знаний среди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населения; реализация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соблюдению населением правил пожарной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безопасности;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уменьшение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количества пожаров, гибели людей, травматизма и размера  м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атериальных потерь от огня;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C1A48" w:rsidRPr="003C1CF1" w:rsidRDefault="006C57BF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1A48" w:rsidRPr="005C2807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587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AF198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  <w:r w:rsidR="00D5788B" w:rsidRPr="008036E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от чрезвычайных ситуаций природного и техногенного характера</w:t>
      </w:r>
      <w:r w:rsidR="00B2077B"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 w:rsidR="00DA2C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9D3F6D" w:rsidRDefault="008870B4" w:rsidP="007B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F72E35"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1F41">
        <w:rPr>
          <w:rFonts w:ascii="Times New Roman" w:hAnsi="Times New Roman" w:cs="Times New Roman"/>
          <w:sz w:val="28"/>
          <w:szCs w:val="28"/>
        </w:rPr>
        <w:t>вопросов первичных мер противопожарн</w:t>
      </w:r>
      <w:r w:rsidR="00E61758">
        <w:rPr>
          <w:rFonts w:ascii="Times New Roman" w:hAnsi="Times New Roman" w:cs="Times New Roman"/>
          <w:sz w:val="28"/>
          <w:szCs w:val="28"/>
        </w:rPr>
        <w:t xml:space="preserve">ой </w:t>
      </w:r>
      <w:r w:rsidR="004D1F41">
        <w:rPr>
          <w:rFonts w:ascii="Times New Roman" w:hAnsi="Times New Roman" w:cs="Times New Roman"/>
          <w:sz w:val="28"/>
          <w:szCs w:val="28"/>
        </w:rPr>
        <w:t>безопасности</w:t>
      </w:r>
      <w:r w:rsidR="00E61758">
        <w:rPr>
          <w:rFonts w:ascii="Times New Roman" w:hAnsi="Times New Roman" w:cs="Times New Roman"/>
          <w:sz w:val="28"/>
          <w:szCs w:val="28"/>
        </w:rPr>
        <w:t xml:space="preserve"> в Новоджерелиевском сельском поселении.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Брюховецкого района» (приложение № 3)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(приложение № 4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 w:rsidRPr="008C1A48">
              <w:rPr>
                <w:sz w:val="28"/>
                <w:szCs w:val="28"/>
              </w:rPr>
              <w:t xml:space="preserve">«Защита населения и </w:t>
            </w:r>
            <w:r w:rsidR="00821AD3" w:rsidRPr="008C1A48">
              <w:rPr>
                <w:sz w:val="28"/>
                <w:szCs w:val="28"/>
              </w:rPr>
              <w:t>территорий Новоджерелиевского</w:t>
            </w:r>
            <w:r w:rsidRPr="008C1A48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характера»</w:t>
            </w:r>
            <w:r w:rsidR="007B3807">
              <w:rPr>
                <w:sz w:val="28"/>
                <w:szCs w:val="28"/>
              </w:rPr>
              <w:t xml:space="preserve"> на </w:t>
            </w:r>
            <w:r w:rsidR="000262DB">
              <w:rPr>
                <w:sz w:val="28"/>
                <w:szCs w:val="28"/>
              </w:rPr>
              <w:t>2022-2024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9D3F6D" w:rsidTr="00BD37A5">
        <w:tc>
          <w:tcPr>
            <w:tcW w:w="594" w:type="dxa"/>
          </w:tcPr>
          <w:p w:rsidR="009D3F6D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«Обеспечени</w:t>
            </w:r>
            <w:r w:rsidR="007B3807">
              <w:rPr>
                <w:sz w:val="28"/>
                <w:szCs w:val="28"/>
              </w:rPr>
              <w:t xml:space="preserve">е пожарной безопасности» на </w:t>
            </w:r>
            <w:r w:rsidR="000262DB">
              <w:rPr>
                <w:sz w:val="28"/>
                <w:szCs w:val="28"/>
              </w:rPr>
              <w:t>2022-2024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085468" w:rsidTr="00BD37A5">
        <w:tc>
          <w:tcPr>
            <w:tcW w:w="594" w:type="dxa"/>
          </w:tcPr>
          <w:p w:rsidR="00085468" w:rsidRDefault="00085468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 xml:space="preserve">Противодействие коррупции в Новоджерелиевском сельском поселении Брюховецкого </w:t>
            </w:r>
            <w:proofErr w:type="spellStart"/>
            <w:r w:rsidR="00396F7F" w:rsidRPr="00366677">
              <w:rPr>
                <w:sz w:val="28"/>
                <w:szCs w:val="28"/>
              </w:rPr>
              <w:t>районана</w:t>
            </w:r>
            <w:proofErr w:type="spellEnd"/>
            <w:r w:rsidR="00396F7F" w:rsidRPr="00366677">
              <w:rPr>
                <w:sz w:val="28"/>
                <w:szCs w:val="28"/>
              </w:rPr>
              <w:t xml:space="preserve"> </w:t>
            </w:r>
            <w:r w:rsidR="000262DB">
              <w:rPr>
                <w:sz w:val="28"/>
                <w:szCs w:val="28"/>
              </w:rPr>
              <w:lastRenderedPageBreak/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396F7F" w:rsidP="009D3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</w:t>
            </w:r>
            <w:r w:rsidR="00DA2C66">
              <w:rPr>
                <w:sz w:val="28"/>
                <w:szCs w:val="28"/>
              </w:rPr>
              <w:t xml:space="preserve"> </w:t>
            </w:r>
            <w:r w:rsidR="00396F7F" w:rsidRPr="0036667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396F7F" w:rsidP="00BD37A5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DA2C66" w:rsidP="00B43856">
      <w:pPr>
        <w:ind w:firstLine="709"/>
        <w:jc w:val="both"/>
        <w:rPr>
          <w:sz w:val="28"/>
        </w:rPr>
      </w:pPr>
      <w:hyperlink r:id="rId15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Федеральный закон Российской Федерации от 28.12.2010 года № 390-ФЗ «О безопасности»;</w:t>
      </w:r>
    </w:p>
    <w:p w:rsidR="00B51281" w:rsidRPr="00366677" w:rsidRDefault="00B51281" w:rsidP="00315CF8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51281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14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5" w:name="sub_1051"/>
      <w:bookmarkEnd w:id="14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5"/>
    </w:p>
    <w:p w:rsidR="00726F47" w:rsidRDefault="00726F47" w:rsidP="00B80900">
      <w:pPr>
        <w:rPr>
          <w:sz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237A39" w:rsidRDefault="00DA2C66" w:rsidP="005A2923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5A2923" w:rsidRPr="002D528C">
        <w:rPr>
          <w:sz w:val="28"/>
          <w:szCs w:val="28"/>
        </w:rPr>
        <w:t xml:space="preserve"> главы </w:t>
      </w:r>
    </w:p>
    <w:p w:rsidR="00DA2C66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A2C66" w:rsidRDefault="00DA2C66" w:rsidP="00197FC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00EB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C00EB2">
        <w:rPr>
          <w:sz w:val="28"/>
          <w:szCs w:val="28"/>
        </w:rPr>
        <w:t>поселения</w:t>
      </w:r>
    </w:p>
    <w:p w:rsidR="00C42EBE" w:rsidRDefault="00C00EB2" w:rsidP="00197FC9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A2C66">
        <w:rPr>
          <w:sz w:val="28"/>
          <w:szCs w:val="28"/>
        </w:rPr>
        <w:tab/>
      </w:r>
      <w:r w:rsidR="00DA2C66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237A39">
        <w:rPr>
          <w:sz w:val="28"/>
          <w:szCs w:val="28"/>
        </w:rPr>
        <w:t>В.А.</w:t>
      </w:r>
      <w:r w:rsidR="00D5326D">
        <w:rPr>
          <w:sz w:val="28"/>
          <w:szCs w:val="28"/>
        </w:rPr>
        <w:t xml:space="preserve">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B7680D" w:rsidP="00B7680D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>
        <w:rPr>
          <w:b/>
          <w:bCs/>
          <w:sz w:val="28"/>
          <w:szCs w:val="28"/>
        </w:rPr>
        <w:t xml:space="preserve">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 w:rsidR="00DA2C66">
        <w:rPr>
          <w:b/>
          <w:sz w:val="28"/>
          <w:szCs w:val="28"/>
        </w:rPr>
        <w:t xml:space="preserve">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873F6F" w:rsidP="00B7680D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муниципальной подпрограммы 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» 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 годы</w:t>
      </w:r>
      <w:r w:rsidR="00DA2C66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30,0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30,0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–10,0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10,0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10,0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</w:t>
      </w:r>
      <w:r w:rsidRPr="00873F6F">
        <w:rPr>
          <w:rFonts w:eastAsia="Batang"/>
          <w:sz w:val="28"/>
          <w:szCs w:val="28"/>
          <w:lang w:eastAsia="ko-KR"/>
        </w:rPr>
        <w:lastRenderedPageBreak/>
        <w:t>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873F6F" w:rsidRPr="00873F6F" w:rsidRDefault="00873F6F" w:rsidP="00873F6F">
      <w:pPr>
        <w:suppressAutoHyphens w:val="0"/>
        <w:spacing w:before="67" w:after="100" w:afterAutospacing="1" w:line="322" w:lineRule="atLeast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19E4" w:rsidRDefault="009F19E4" w:rsidP="00197FC9">
      <w:pPr>
        <w:rPr>
          <w:sz w:val="28"/>
          <w:szCs w:val="28"/>
        </w:rPr>
        <w:sectPr w:rsidR="009F19E4" w:rsidSect="00E2178A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31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885EC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</w:t>
            </w:r>
            <w:r w:rsidR="00162A35">
              <w:rPr>
                <w:rFonts w:eastAsia="Batang"/>
                <w:sz w:val="28"/>
                <w:lang w:eastAsia="ko-KR"/>
              </w:rPr>
              <w:t>0,0</w:t>
            </w:r>
          </w:p>
        </w:tc>
        <w:tc>
          <w:tcPr>
            <w:tcW w:w="830" w:type="dxa"/>
            <w:vAlign w:val="center"/>
          </w:tcPr>
          <w:p w:rsidR="009F19E4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830" w:type="dxa"/>
            <w:vAlign w:val="center"/>
          </w:tcPr>
          <w:p w:rsidR="009F19E4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831" w:type="dxa"/>
            <w:vAlign w:val="center"/>
          </w:tcPr>
          <w:p w:rsidR="009F19E4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</w:tr>
      <w:tr w:rsidR="00162A35" w:rsidRPr="009F19E4" w:rsidTr="00B10F54">
        <w:tc>
          <w:tcPr>
            <w:tcW w:w="2410" w:type="dxa"/>
          </w:tcPr>
          <w:p w:rsidR="00162A35" w:rsidRPr="009F19E4" w:rsidRDefault="00162A3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162A35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162A35" w:rsidRPr="009F19E4" w:rsidRDefault="00162A35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30,0</w:t>
            </w:r>
          </w:p>
        </w:tc>
        <w:tc>
          <w:tcPr>
            <w:tcW w:w="830" w:type="dxa"/>
            <w:vAlign w:val="center"/>
          </w:tcPr>
          <w:p w:rsidR="00162A35" w:rsidRPr="009F19E4" w:rsidRDefault="00162A35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830" w:type="dxa"/>
            <w:vAlign w:val="center"/>
          </w:tcPr>
          <w:p w:rsidR="00162A35" w:rsidRPr="009F19E4" w:rsidRDefault="00162A35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831" w:type="dxa"/>
            <w:vAlign w:val="center"/>
          </w:tcPr>
          <w:p w:rsidR="00162A35" w:rsidRPr="009F19E4" w:rsidRDefault="00162A35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DA2C66" w:rsidP="009F19E4">
      <w:pPr>
        <w:suppressAutoHyphens w:val="0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</w:t>
      </w:r>
      <w:r w:rsidR="009F19E4" w:rsidRPr="009F19E4">
        <w:rPr>
          <w:rFonts w:eastAsia="Batang"/>
          <w:sz w:val="28"/>
          <w:lang w:eastAsia="ko-KR"/>
        </w:rPr>
        <w:t xml:space="preserve"> главы</w:t>
      </w:r>
    </w:p>
    <w:p w:rsidR="00DA2C66" w:rsidRDefault="009F19E4" w:rsidP="009F19E4">
      <w:pPr>
        <w:suppressAutoHyphens w:val="0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Новоджерелиевского</w:t>
      </w:r>
    </w:p>
    <w:p w:rsidR="00DA2C66" w:rsidRDefault="009F19E4" w:rsidP="009F19E4">
      <w:pPr>
        <w:suppressAutoHyphens w:val="0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сельского </w:t>
      </w:r>
      <w:r w:rsidR="00E108C1">
        <w:rPr>
          <w:rFonts w:eastAsia="Batang"/>
          <w:sz w:val="28"/>
          <w:lang w:eastAsia="ko-KR"/>
        </w:rPr>
        <w:t>п</w:t>
      </w:r>
      <w:r w:rsidRPr="009F19E4">
        <w:rPr>
          <w:rFonts w:eastAsia="Batang"/>
          <w:sz w:val="28"/>
          <w:lang w:eastAsia="ko-KR"/>
        </w:rPr>
        <w:t>оселения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Брюховецкого района 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DA2C66">
        <w:rPr>
          <w:rFonts w:eastAsia="Batang"/>
          <w:sz w:val="28"/>
          <w:lang w:eastAsia="ko-KR"/>
        </w:rPr>
        <w:tab/>
      </w:r>
      <w:r w:rsidR="00DA2C66"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9F19E4">
        <w:rPr>
          <w:rFonts w:eastAsia="Batang"/>
          <w:sz w:val="28"/>
          <w:lang w:eastAsia="ko-KR"/>
        </w:rPr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9F19E4" w:rsidP="00582C07">
      <w:pPr>
        <w:ind w:left="8364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color w:val="000000"/>
          <w:sz w:val="28"/>
          <w:szCs w:val="28"/>
        </w:rPr>
        <w:t xml:space="preserve">» на </w:t>
      </w:r>
      <w:r w:rsidR="000262DB">
        <w:rPr>
          <w:color w:val="000000"/>
          <w:sz w:val="28"/>
          <w:szCs w:val="28"/>
        </w:rPr>
        <w:t>2022-2024</w:t>
      </w:r>
      <w:r w:rsidRPr="00821AD3">
        <w:rPr>
          <w:color w:val="000000"/>
          <w:sz w:val="28"/>
          <w:szCs w:val="28"/>
        </w:rPr>
        <w:t xml:space="preserve"> годы</w:t>
      </w: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DA2C66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DA2C66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DA2C66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DA2C66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10,0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Pr="009F19E4" w:rsidRDefault="00821AD3" w:rsidP="00217D83">
      <w:pPr>
        <w:rPr>
          <w:sz w:val="28"/>
        </w:rPr>
      </w:pPr>
    </w:p>
    <w:p w:rsidR="009F19E4" w:rsidRPr="00BE5A7A" w:rsidRDefault="00DA2C66" w:rsidP="009F19E4">
      <w:pPr>
        <w:suppressAutoHyphens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Заместитель</w:t>
      </w:r>
      <w:r w:rsidR="009F19E4" w:rsidRPr="00BE5A7A">
        <w:rPr>
          <w:rFonts w:eastAsia="Batang"/>
          <w:sz w:val="28"/>
          <w:szCs w:val="28"/>
          <w:lang w:eastAsia="ko-KR"/>
        </w:rPr>
        <w:t xml:space="preserve"> главы</w:t>
      </w:r>
    </w:p>
    <w:p w:rsidR="00DA2C66" w:rsidRDefault="009F19E4" w:rsidP="009F19E4">
      <w:pPr>
        <w:suppressAutoHyphens w:val="0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Новоджерелиевского</w:t>
      </w:r>
    </w:p>
    <w:p w:rsidR="00DA2C66" w:rsidRDefault="00DA2C66" w:rsidP="009F19E4">
      <w:pPr>
        <w:suppressAutoHyphens w:val="0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с</w:t>
      </w:r>
      <w:r w:rsidR="009F19E4" w:rsidRPr="00BE5A7A">
        <w:rPr>
          <w:rFonts w:eastAsia="Batang"/>
          <w:sz w:val="28"/>
          <w:szCs w:val="28"/>
          <w:lang w:eastAsia="ko-KR"/>
        </w:rPr>
        <w:t>ельского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E108C1">
        <w:rPr>
          <w:rFonts w:eastAsia="Batang"/>
          <w:sz w:val="28"/>
          <w:szCs w:val="28"/>
          <w:lang w:eastAsia="ko-KR"/>
        </w:rPr>
        <w:t>п</w:t>
      </w:r>
      <w:r w:rsidR="009F19E4" w:rsidRPr="00BE5A7A">
        <w:rPr>
          <w:rFonts w:eastAsia="Batang"/>
          <w:sz w:val="28"/>
          <w:szCs w:val="28"/>
          <w:lang w:eastAsia="ko-KR"/>
        </w:rPr>
        <w:t>оселения</w:t>
      </w:r>
    </w:p>
    <w:p w:rsidR="00DE141E" w:rsidRPr="00217D83" w:rsidRDefault="009F19E4" w:rsidP="009F19E4">
      <w:pPr>
        <w:suppressAutoHyphens w:val="0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  <w:r w:rsidRPr="00BE5A7A">
        <w:rPr>
          <w:rFonts w:eastAsia="Batang"/>
          <w:sz w:val="28"/>
          <w:szCs w:val="28"/>
          <w:lang w:eastAsia="ko-KR"/>
        </w:rPr>
        <w:t>Брю</w:t>
      </w:r>
      <w:r w:rsidR="00C73BE2" w:rsidRPr="00BE5A7A">
        <w:rPr>
          <w:rFonts w:eastAsia="Batang"/>
          <w:sz w:val="28"/>
          <w:szCs w:val="28"/>
          <w:lang w:eastAsia="ko-KR"/>
        </w:rPr>
        <w:t xml:space="preserve">ховецкого района </w:t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>В.А. Герасименко</w:t>
      </w:r>
    </w:p>
    <w:p w:rsidR="00DE141E" w:rsidRPr="00DE141E" w:rsidRDefault="00DE141E" w:rsidP="00DA2C66">
      <w:pPr>
        <w:suppressAutoHyphens w:val="0"/>
        <w:ind w:firstLine="5529"/>
        <w:jc w:val="center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DE141E">
        <w:rPr>
          <w:rFonts w:eastAsia="Batang"/>
          <w:sz w:val="28"/>
          <w:szCs w:val="28"/>
          <w:lang w:eastAsia="ko-KR"/>
        </w:rPr>
        <w:t>2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 xml:space="preserve">к муниципальной программе 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>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E141E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DE141E">
        <w:rPr>
          <w:snapToGrid w:val="0"/>
          <w:sz w:val="28"/>
          <w:szCs w:val="28"/>
        </w:rPr>
        <w:t xml:space="preserve"> годы</w:t>
      </w:r>
    </w:p>
    <w:p w:rsidR="00BF44AA" w:rsidRDefault="00BF44AA" w:rsidP="00BF44AA">
      <w:pPr>
        <w:jc w:val="center"/>
        <w:rPr>
          <w:b/>
          <w:sz w:val="28"/>
          <w:szCs w:val="28"/>
        </w:rPr>
      </w:pPr>
    </w:p>
    <w:p w:rsidR="00BF44AA" w:rsidRDefault="00BF44AA" w:rsidP="00BF4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F44AA" w:rsidRPr="00D033F5" w:rsidRDefault="00BF44AA" w:rsidP="00BF44AA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 xml:space="preserve"> 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>
        <w:rPr>
          <w:b/>
          <w:bCs/>
          <w:sz w:val="28"/>
          <w:szCs w:val="28"/>
        </w:rPr>
        <w:t xml:space="preserve">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both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муниципальной подпрограммы </w:t>
      </w:r>
    </w:p>
    <w:p w:rsidR="00BF44AA" w:rsidRPr="00D033F5" w:rsidRDefault="00DE141E" w:rsidP="00BF44AA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» 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 годы</w:t>
      </w:r>
      <w:r w:rsidR="00582C07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F44AA">
        <w:rPr>
          <w:b/>
          <w:bCs/>
          <w:sz w:val="28"/>
          <w:szCs w:val="28"/>
        </w:rPr>
        <w:t xml:space="preserve">муниципальной программы </w:t>
      </w:r>
      <w:r w:rsidR="00BF44AA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F44AA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F44AA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F44AA" w:rsidRPr="00D033F5">
        <w:rPr>
          <w:b/>
          <w:bCs/>
          <w:sz w:val="28"/>
          <w:szCs w:val="28"/>
        </w:rPr>
        <w:t xml:space="preserve"> год</w:t>
      </w:r>
      <w:r w:rsidR="00BF44AA"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DE141E" w:rsidRDefault="00DE141E" w:rsidP="00DE141E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DE141E" w:rsidRPr="00DE141E" w:rsidRDefault="00DE141E" w:rsidP="00DE141E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Задачи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</w:t>
            </w: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sz w:val="28"/>
                <w:szCs w:val="28"/>
                <w:lang w:eastAsia="ko-KR"/>
              </w:rPr>
              <w:t xml:space="preserve">Доля граждан, информированных о первичных мерах пожарной безопасности 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DE141E" w:rsidRPr="00DE141E" w:rsidRDefault="000262DB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ассигнований подпрограммы 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6743EF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всего по программе: 15,0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 в т.ч из</w:t>
            </w:r>
          </w:p>
          <w:p w:rsidR="00DE141E" w:rsidRPr="00DE141E" w:rsidRDefault="006743EF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15,0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DE141E" w:rsidRPr="00DE141E" w:rsidRDefault="00C55665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6743E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5,0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C55665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754783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</w:t>
            </w:r>
            <w:r w:rsidR="006743EF">
              <w:rPr>
                <w:rFonts w:eastAsia="Batang"/>
                <w:color w:val="000000"/>
                <w:sz w:val="28"/>
                <w:szCs w:val="28"/>
                <w:lang w:eastAsia="ko-KR"/>
              </w:rPr>
              <w:t>д – 5,0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C55665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6743E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5,0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DE141E" w:rsidRPr="00DE141E" w:rsidRDefault="00DE141E" w:rsidP="00DE141E">
            <w:pPr>
              <w:tabs>
                <w:tab w:val="left" w:pos="5845"/>
              </w:tabs>
              <w:suppressAutoHyphens w:val="0"/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DE141E">
              <w:rPr>
                <w:sz w:val="28"/>
                <w:lang w:eastAsia="ru-RU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E141E" w:rsidRPr="00DE141E" w:rsidRDefault="00DE141E" w:rsidP="00DE141E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DE141E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 w:rsidR="006743EF"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 xml:space="preserve"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</w:t>
      </w:r>
      <w:r w:rsidRPr="00DE141E">
        <w:rPr>
          <w:rFonts w:eastAsia="Batang"/>
          <w:sz w:val="28"/>
          <w:szCs w:val="28"/>
          <w:lang w:eastAsia="ko-KR"/>
        </w:rPr>
        <w:lastRenderedPageBreak/>
        <w:t>принимают необходимые меры к соблюдению Правил пожарной безопасности.</w:t>
      </w:r>
      <w:r w:rsidR="006743EF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F70364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F70364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7036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>МУНИЦИПАЛЬНОЙ ПОДПРОГРАММЫ «</w:t>
      </w:r>
      <w:r w:rsidRPr="00F70364">
        <w:rPr>
          <w:b/>
          <w:sz w:val="28"/>
          <w:szCs w:val="28"/>
          <w:lang w:eastAsia="ru-RU"/>
        </w:rPr>
        <w:t>ОБЕСПЕЧЕНИЕ ПОЖАРНОЙ БЕЗАПАСНОСТИ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» </w:t>
      </w:r>
      <w:r w:rsidRPr="00F7036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F70364">
        <w:rPr>
          <w:b/>
          <w:sz w:val="28"/>
          <w:szCs w:val="28"/>
          <w:lang w:eastAsia="ru-RU"/>
        </w:rPr>
        <w:t xml:space="preserve"> ГОДЫ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 xml:space="preserve">Подпрограмма № 2 «Обеспечение пожарной безопасности» 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F7036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sz w:val="28"/>
                <w:szCs w:val="28"/>
                <w:lang w:eastAsia="ko-KR"/>
              </w:rPr>
              <w:t xml:space="preserve">Цель: </w:t>
            </w: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 xml:space="preserve">Задача: </w:t>
            </w:r>
            <w:r w:rsidRPr="00F7036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0364" w:rsidRPr="00F70364" w:rsidRDefault="00F70364" w:rsidP="00F703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этап.</w:t>
      </w: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Default="00F70364" w:rsidP="009F19E4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6837" w:h="11905" w:orient="landscape"/>
          <w:pgMar w:top="1418" w:right="993" w:bottom="567" w:left="1134" w:header="720" w:footer="720" w:gutter="0"/>
          <w:cols w:space="720"/>
          <w:titlePg/>
          <w:docGrid w:linePitch="360"/>
        </w:sectPr>
      </w:pPr>
    </w:p>
    <w:p w:rsidR="00F70364" w:rsidRPr="00F70364" w:rsidRDefault="00F70364" w:rsidP="00F70364">
      <w:pPr>
        <w:tabs>
          <w:tab w:val="left" w:pos="708"/>
          <w:tab w:val="left" w:pos="141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 xml:space="preserve">ПЕРЕЧЕНЬ И КРАТКОЕ ОПИСАИЕ ПОДПОГРАММЫ 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>ОБОСНОВАНИЕ РЕСУРСНОГО ОБЕСПЕЧЕНИЯ ПОДПРОГРАММЫ</w:t>
      </w:r>
    </w:p>
    <w:p w:rsidR="00F70364" w:rsidRPr="00F70364" w:rsidRDefault="00F70364" w:rsidP="00F70364">
      <w:pPr>
        <w:ind w:left="720"/>
        <w:contextualSpacing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61"/>
        <w:gridCol w:w="2281"/>
        <w:gridCol w:w="830"/>
        <w:gridCol w:w="830"/>
        <w:gridCol w:w="1611"/>
      </w:tblGrid>
      <w:tr w:rsidR="00F70364" w:rsidRPr="00F70364" w:rsidTr="00F70364">
        <w:tc>
          <w:tcPr>
            <w:tcW w:w="2660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Наименование подпрограммы</w:t>
            </w:r>
          </w:p>
        </w:tc>
        <w:tc>
          <w:tcPr>
            <w:tcW w:w="196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Объем финансирования, тыс. руб.</w:t>
            </w:r>
          </w:p>
        </w:tc>
        <w:tc>
          <w:tcPr>
            <w:tcW w:w="3271" w:type="dxa"/>
            <w:gridSpan w:val="3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В том числе по годам:</w:t>
            </w:r>
          </w:p>
        </w:tc>
      </w:tr>
      <w:tr w:rsidR="00F70364" w:rsidRPr="00F70364" w:rsidTr="00F70364">
        <w:tc>
          <w:tcPr>
            <w:tcW w:w="2660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96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28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830" w:type="dxa"/>
          </w:tcPr>
          <w:p w:rsidR="00F70364" w:rsidRPr="00F70364" w:rsidRDefault="00C55665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2022</w:t>
            </w:r>
          </w:p>
        </w:tc>
        <w:tc>
          <w:tcPr>
            <w:tcW w:w="830" w:type="dxa"/>
          </w:tcPr>
          <w:p w:rsidR="00F70364" w:rsidRPr="00F70364" w:rsidRDefault="00C55665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2023</w:t>
            </w:r>
          </w:p>
        </w:tc>
        <w:tc>
          <w:tcPr>
            <w:tcW w:w="1611" w:type="dxa"/>
          </w:tcPr>
          <w:p w:rsidR="00F70364" w:rsidRPr="00F70364" w:rsidRDefault="00C55665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2024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szCs w:val="28"/>
                <w:lang w:eastAsia="ko-KR"/>
              </w:rPr>
              <w:t>Обеспечение пожарной безопасности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</w:t>
            </w:r>
            <w:r w:rsidR="006743EF">
              <w:rPr>
                <w:rFonts w:eastAsia="Batang"/>
                <w:lang w:eastAsia="ko-KR"/>
              </w:rPr>
              <w:t>0</w:t>
            </w:r>
          </w:p>
        </w:tc>
        <w:tc>
          <w:tcPr>
            <w:tcW w:w="830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</w:t>
            </w:r>
            <w:r w:rsidR="006743EF">
              <w:rPr>
                <w:rFonts w:eastAsia="Batang"/>
                <w:lang w:eastAsia="ko-KR"/>
              </w:rPr>
              <w:t>0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 w:rsidR="006743EF">
              <w:rPr>
                <w:rFonts w:eastAsia="Batang"/>
                <w:lang w:eastAsia="ko-KR"/>
              </w:rPr>
              <w:t>0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 w:rsidR="006743EF">
              <w:rPr>
                <w:rFonts w:eastAsia="Batang"/>
                <w:lang w:eastAsia="ko-KR"/>
              </w:rPr>
              <w:t>0</w:t>
            </w:r>
          </w:p>
        </w:tc>
      </w:tr>
      <w:tr w:rsidR="006743EF" w:rsidRPr="00F70364" w:rsidTr="00F70364">
        <w:tc>
          <w:tcPr>
            <w:tcW w:w="2660" w:type="dxa"/>
          </w:tcPr>
          <w:p w:rsidR="006743EF" w:rsidRPr="00F70364" w:rsidRDefault="006743EF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Итого</w:t>
            </w:r>
          </w:p>
        </w:tc>
        <w:tc>
          <w:tcPr>
            <w:tcW w:w="1961" w:type="dxa"/>
          </w:tcPr>
          <w:p w:rsidR="006743EF" w:rsidRPr="00F70364" w:rsidRDefault="006743EF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6743EF" w:rsidRPr="00F70364" w:rsidRDefault="006743EF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30" w:type="dxa"/>
          </w:tcPr>
          <w:p w:rsidR="006743EF" w:rsidRPr="00F70364" w:rsidRDefault="006743EF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30" w:type="dxa"/>
          </w:tcPr>
          <w:p w:rsidR="006743EF" w:rsidRDefault="006743EF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611" w:type="dxa"/>
          </w:tcPr>
          <w:p w:rsidR="006743EF" w:rsidRDefault="006743EF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</w:tbl>
    <w:p w:rsidR="00F70364" w:rsidRPr="00F70364" w:rsidRDefault="00F70364" w:rsidP="00F70364">
      <w:pPr>
        <w:suppressAutoHyphens w:val="0"/>
        <w:ind w:firstLine="36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b/>
          <w:sz w:val="28"/>
          <w:szCs w:val="28"/>
          <w:lang w:eastAsia="ko-KR"/>
        </w:rPr>
        <w:t>5. МЕХАНИЗМ РЕАЛИЗАЦИИ МУНИЦИПАЛЬНОЙ ПОДПРОГРАММЫ И КОНТРОЛЬ ЗА ЕЁ ВЫПОЛНЕНИЕМ</w:t>
      </w: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F7036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366677" w:rsidRPr="00F70364" w:rsidRDefault="00366677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F70364" w:rsidRPr="00F70364" w:rsidRDefault="00DA2C66" w:rsidP="00F70364">
      <w:pPr>
        <w:suppressAutoHyphens w:val="0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Заместитель </w:t>
      </w:r>
      <w:r w:rsidR="00F70364" w:rsidRPr="00F70364">
        <w:rPr>
          <w:rFonts w:eastAsia="Batang"/>
          <w:sz w:val="28"/>
          <w:lang w:eastAsia="ko-KR"/>
        </w:rPr>
        <w:t>главы</w:t>
      </w:r>
    </w:p>
    <w:p w:rsidR="00DA2C66" w:rsidRDefault="00F70364" w:rsidP="003A1966">
      <w:pPr>
        <w:suppressAutoHyphens w:val="0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</w:p>
    <w:p w:rsidR="003A1966" w:rsidRDefault="003A1966" w:rsidP="003A1966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сельского поселения 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</w:p>
    <w:p w:rsidR="00F70364" w:rsidRDefault="003A1966" w:rsidP="003A1966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lastRenderedPageBreak/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F70364" w:rsidRPr="00F70364">
        <w:rPr>
          <w:rFonts w:eastAsia="Batang"/>
          <w:sz w:val="28"/>
          <w:lang w:eastAsia="ko-KR"/>
        </w:rPr>
        <w:t>В.А. Герасименко</w:t>
      </w:r>
    </w:p>
    <w:p w:rsidR="00F70364" w:rsidRPr="00821AD3" w:rsidRDefault="00F70364" w:rsidP="00F70364">
      <w:pPr>
        <w:suppressAutoHyphens w:val="0"/>
        <w:autoSpaceDE w:val="0"/>
        <w:autoSpaceDN w:val="0"/>
        <w:adjustRightInd w:val="0"/>
        <w:ind w:left="8364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 xml:space="preserve">                            ПРИЛОЖЕНИЕ</w:t>
      </w:r>
    </w:p>
    <w:p w:rsidR="00F70364" w:rsidRPr="00821AD3" w:rsidRDefault="00F70364" w:rsidP="00F70364">
      <w:pPr>
        <w:ind w:left="7788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F70364" w:rsidRPr="00821AD3" w:rsidRDefault="00F70364" w:rsidP="00F70364">
      <w:pPr>
        <w:ind w:left="7788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«Обеспечение пожарной безопасности</w:t>
      </w:r>
      <w:r w:rsidRPr="00821AD3">
        <w:rPr>
          <w:color w:val="000000"/>
          <w:sz w:val="28"/>
          <w:szCs w:val="28"/>
        </w:rPr>
        <w:t xml:space="preserve">» на </w:t>
      </w:r>
      <w:r w:rsidR="000262DB">
        <w:rPr>
          <w:color w:val="000000"/>
          <w:sz w:val="28"/>
          <w:szCs w:val="28"/>
        </w:rPr>
        <w:t>2022-2024</w:t>
      </w:r>
      <w:r w:rsidRPr="00821AD3">
        <w:rPr>
          <w:color w:val="000000"/>
          <w:sz w:val="28"/>
          <w:szCs w:val="28"/>
        </w:rPr>
        <w:t xml:space="preserve"> годы</w:t>
      </w:r>
    </w:p>
    <w:p w:rsidR="00F70364" w:rsidRPr="00F70364" w:rsidRDefault="00F70364" w:rsidP="00F70364">
      <w:pPr>
        <w:tabs>
          <w:tab w:val="left" w:pos="709"/>
        </w:tabs>
        <w:rPr>
          <w:color w:val="000000"/>
        </w:rPr>
      </w:pPr>
    </w:p>
    <w:p w:rsidR="00F70364" w:rsidRDefault="00F70364" w:rsidP="00F70364">
      <w:pPr>
        <w:tabs>
          <w:tab w:val="left" w:pos="709"/>
        </w:tabs>
        <w:rPr>
          <w:sz w:val="28"/>
        </w:rPr>
      </w:pPr>
      <w:r w:rsidRPr="00F7036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F70364" w:rsidRDefault="00821AD3" w:rsidP="00F70364">
      <w:pPr>
        <w:tabs>
          <w:tab w:val="left" w:pos="709"/>
        </w:tabs>
        <w:rPr>
          <w:sz w:val="28"/>
        </w:rPr>
      </w:pPr>
    </w:p>
    <w:tbl>
      <w:tblPr>
        <w:tblW w:w="14316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1276"/>
        <w:gridCol w:w="1275"/>
        <w:gridCol w:w="1277"/>
        <w:gridCol w:w="2125"/>
        <w:gridCol w:w="3401"/>
      </w:tblGrid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Объем финансирования,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Ожидаемый результат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ind w:right="-151"/>
              <w:jc w:val="center"/>
            </w:pPr>
            <w:r w:rsidRPr="00F70364">
              <w:t>Муниципальный заказчик/исполнители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 том числе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C55665" w:rsidP="00F70364">
            <w:pPr>
              <w:jc w:val="center"/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C55665" w:rsidP="00F70364">
            <w:pPr>
              <w:jc w:val="center"/>
            </w:pPr>
            <w: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C55665" w:rsidP="00F70364">
            <w:pPr>
              <w:jc w:val="center"/>
            </w:pPr>
            <w:r>
              <w:t>2024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7</w:t>
            </w:r>
          </w:p>
        </w:tc>
      </w:tr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Реализация мероприятий муниципальной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F70364" w:rsidRPr="00F70364" w:rsidRDefault="00F70364" w:rsidP="00F70364">
            <w:pPr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>- повышение безопасности населения и защищённости от пожаров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E4055B" w:rsidRPr="00F70364" w:rsidTr="00DA2C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Pr="00F70364" w:rsidRDefault="00E4055B" w:rsidP="00F70364">
            <w:r w:rsidRPr="00F70364"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Pr="00F70364" w:rsidRDefault="00E4055B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Pr="00F70364" w:rsidRDefault="00E4055B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Default="00E4055B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Default="00E4055B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 xml:space="preserve">Другие </w:t>
            </w:r>
          </w:p>
          <w:p w:rsidR="00DF5AB5" w:rsidRPr="00F70364" w:rsidRDefault="00DF5AB5" w:rsidP="00F70364">
            <w:r w:rsidRPr="00F7036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E4055B" w:rsidRPr="00F70364" w:rsidTr="00E4055B">
        <w:trPr>
          <w:trHeight w:val="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55B" w:rsidRPr="00F70364" w:rsidRDefault="00E4055B" w:rsidP="00F70364">
            <w:r w:rsidRPr="00F7036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E4055B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E4055B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Default="00E4055B" w:rsidP="00E4055B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Default="00E4055B" w:rsidP="00E4055B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5B" w:rsidRPr="00F70364" w:rsidRDefault="00E4055B" w:rsidP="00F70364"/>
        </w:tc>
      </w:tr>
    </w:tbl>
    <w:p w:rsidR="00F70364" w:rsidRPr="00F70364" w:rsidRDefault="00F70364" w:rsidP="00F70364">
      <w:pPr>
        <w:ind w:left="567"/>
        <w:jc w:val="center"/>
        <w:rPr>
          <w:sz w:val="28"/>
        </w:rPr>
      </w:pPr>
    </w:p>
    <w:p w:rsidR="00ED1961" w:rsidRDefault="00ED1961" w:rsidP="00F70364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</w:p>
    <w:p w:rsidR="00DA2C66" w:rsidRPr="00BE5A7A" w:rsidRDefault="00DA2C66" w:rsidP="001B26CC">
      <w:pPr>
        <w:suppressAutoHyphens w:val="0"/>
        <w:ind w:firstLine="851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Заместитель</w:t>
      </w:r>
      <w:r w:rsidRPr="00BE5A7A">
        <w:rPr>
          <w:rFonts w:eastAsia="Batang"/>
          <w:sz w:val="28"/>
          <w:szCs w:val="28"/>
          <w:lang w:eastAsia="ko-KR"/>
        </w:rPr>
        <w:t xml:space="preserve"> главы</w:t>
      </w:r>
    </w:p>
    <w:p w:rsidR="00DA2C66" w:rsidRDefault="00DA2C66" w:rsidP="001B26CC">
      <w:pPr>
        <w:suppressAutoHyphens w:val="0"/>
        <w:ind w:firstLine="851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Новоджерелиевского</w:t>
      </w:r>
    </w:p>
    <w:p w:rsidR="00DA2C66" w:rsidRDefault="00DA2C66" w:rsidP="001B26CC">
      <w:pPr>
        <w:suppressAutoHyphens w:val="0"/>
        <w:ind w:firstLine="85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с</w:t>
      </w:r>
      <w:r w:rsidRPr="00BE5A7A">
        <w:rPr>
          <w:rFonts w:eastAsia="Batang"/>
          <w:sz w:val="28"/>
          <w:szCs w:val="28"/>
          <w:lang w:eastAsia="ko-KR"/>
        </w:rPr>
        <w:t>ельского</w:t>
      </w:r>
      <w:r>
        <w:rPr>
          <w:rFonts w:eastAsia="Batang"/>
          <w:sz w:val="28"/>
          <w:szCs w:val="28"/>
          <w:lang w:eastAsia="ko-KR"/>
        </w:rPr>
        <w:t xml:space="preserve"> п</w:t>
      </w:r>
      <w:r w:rsidRPr="00BE5A7A">
        <w:rPr>
          <w:rFonts w:eastAsia="Batang"/>
          <w:sz w:val="28"/>
          <w:szCs w:val="28"/>
          <w:lang w:eastAsia="ko-KR"/>
        </w:rPr>
        <w:t>оселения</w:t>
      </w:r>
    </w:p>
    <w:p w:rsidR="00ED1961" w:rsidRDefault="00DA2C66" w:rsidP="00DA2C66">
      <w:pPr>
        <w:suppressAutoHyphens w:val="0"/>
        <w:ind w:left="851"/>
        <w:rPr>
          <w:rFonts w:eastAsia="Batang"/>
          <w:sz w:val="28"/>
          <w:lang w:eastAsia="ko-KR"/>
        </w:rPr>
        <w:sectPr w:rsidR="00ED1961" w:rsidSect="00F70364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  <w:r w:rsidRPr="00BE5A7A">
        <w:rPr>
          <w:rFonts w:eastAsia="Batang"/>
          <w:sz w:val="28"/>
          <w:szCs w:val="28"/>
          <w:lang w:eastAsia="ko-KR"/>
        </w:rPr>
        <w:t xml:space="preserve">Брюховецкого района </w:t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</w:r>
      <w:r w:rsidRPr="00BE5A7A">
        <w:rPr>
          <w:rFonts w:eastAsia="Batang"/>
          <w:sz w:val="28"/>
          <w:szCs w:val="28"/>
          <w:lang w:eastAsia="ko-KR"/>
        </w:rPr>
        <w:tab/>
        <w:t>В.А. Герасименко</w:t>
      </w:r>
      <w:r>
        <w:rPr>
          <w:rFonts w:eastAsia="Batang"/>
          <w:sz w:val="28"/>
          <w:lang w:eastAsia="ko-KR"/>
        </w:rPr>
        <w:t xml:space="preserve"> </w:t>
      </w:r>
    </w:p>
    <w:p w:rsidR="00B43856" w:rsidRPr="00366677" w:rsidRDefault="00B43856" w:rsidP="00B43856">
      <w:pPr>
        <w:widowControl w:val="0"/>
        <w:ind w:left="524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lastRenderedPageBreak/>
        <w:t>ПРИЛОЖЕНИЕ № 3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«Обеспечение безопасности населения Новоджерелиевского сельского поселения Брюховецкого района» на </w:t>
      </w:r>
      <w:r w:rsidR="000262DB">
        <w:rPr>
          <w:snapToGrid w:val="0"/>
          <w:sz w:val="28"/>
          <w:szCs w:val="28"/>
        </w:rPr>
        <w:t>2022-2024</w:t>
      </w:r>
      <w:r w:rsidRPr="00366677">
        <w:rPr>
          <w:snapToGrid w:val="0"/>
          <w:sz w:val="28"/>
          <w:szCs w:val="28"/>
        </w:rPr>
        <w:t xml:space="preserve">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E4055B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1B26CC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1B26CC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</w:t>
            </w:r>
            <w:r w:rsidRPr="00366677">
              <w:rPr>
                <w:sz w:val="28"/>
                <w:szCs w:val="28"/>
              </w:rPr>
              <w:lastRenderedPageBreak/>
              <w:t xml:space="preserve">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0262DB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B43856" w:rsidRPr="00366677">
              <w:rPr>
                <w:sz w:val="28"/>
                <w:szCs w:val="28"/>
              </w:rPr>
              <w:t xml:space="preserve">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</w:t>
            </w:r>
            <w:r w:rsidR="00082699">
              <w:rPr>
                <w:sz w:val="28"/>
                <w:szCs w:val="28"/>
              </w:rPr>
              <w:t>авляет 15</w:t>
            </w:r>
            <w:r w:rsidR="004F5311" w:rsidRPr="00366677">
              <w:rPr>
                <w:sz w:val="28"/>
                <w:szCs w:val="28"/>
              </w:rPr>
              <w:t>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Pr="00366677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16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lastRenderedPageBreak/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1559"/>
      </w:tblGrid>
      <w:tr w:rsidR="00366677" w:rsidRPr="00366677" w:rsidTr="00BF44AA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BF44AA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1B26CC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BF44AA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 xml:space="preserve">сельского поселения Брюховецкого района по антикоррупционной </w:t>
            </w:r>
            <w:r w:rsidRPr="00366677">
              <w:rPr>
                <w:rFonts w:eastAsia="Arial"/>
                <w:sz w:val="28"/>
                <w:szCs w:val="28"/>
              </w:rPr>
              <w:lastRenderedPageBreak/>
              <w:t>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366677">
        <w:rPr>
          <w:sz w:val="28"/>
          <w:szCs w:val="28"/>
        </w:rPr>
        <w:t xml:space="preserve"> - </w:t>
      </w:r>
      <w:r w:rsidR="00C55665">
        <w:rPr>
          <w:sz w:val="28"/>
          <w:szCs w:val="28"/>
        </w:rPr>
        <w:t>2024</w:t>
      </w:r>
      <w:r w:rsidRPr="00366677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560"/>
      </w:tblGrid>
      <w:tr w:rsidR="00366677" w:rsidRPr="00366677" w:rsidTr="00BF44AA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82699" w:rsidRPr="00366677" w:rsidTr="00D94866">
        <w:tc>
          <w:tcPr>
            <w:tcW w:w="709" w:type="dxa"/>
            <w:vMerge w:val="restart"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2699" w:rsidRPr="00366677" w:rsidRDefault="00082699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82699" w:rsidRDefault="00082699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82699" w:rsidRDefault="00082699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082699" w:rsidRPr="00366677" w:rsidTr="00082699">
        <w:tc>
          <w:tcPr>
            <w:tcW w:w="709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8"/>
        <w:numPr>
          <w:ilvl w:val="0"/>
          <w:numId w:val="9"/>
        </w:numPr>
        <w:jc w:val="center"/>
        <w:rPr>
          <w:sz w:val="28"/>
        </w:rPr>
      </w:pPr>
      <w:r w:rsidRPr="00366677">
        <w:rPr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B26CC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1B26CC" w:rsidRPr="00F70364" w:rsidRDefault="001B26CC" w:rsidP="001B26CC">
      <w:pPr>
        <w:suppressAutoHyphens w:val="0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Заместитель </w:t>
      </w:r>
      <w:r w:rsidRPr="00F70364">
        <w:rPr>
          <w:rFonts w:eastAsia="Batang"/>
          <w:sz w:val="28"/>
          <w:lang w:eastAsia="ko-KR"/>
        </w:rPr>
        <w:t>главы</w:t>
      </w:r>
    </w:p>
    <w:p w:rsidR="001B26CC" w:rsidRDefault="001B26CC" w:rsidP="001B26CC">
      <w:pPr>
        <w:suppressAutoHyphens w:val="0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</w:p>
    <w:p w:rsidR="001B26CC" w:rsidRDefault="001B26CC" w:rsidP="001B26CC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сельского поселения 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</w:p>
    <w:p w:rsidR="00E3761C" w:rsidRPr="00366677" w:rsidRDefault="001B26CC" w:rsidP="001B26CC">
      <w:pPr>
        <w:suppressAutoHyphens w:val="0"/>
        <w:rPr>
          <w:rFonts w:eastAsia="Batang"/>
          <w:sz w:val="28"/>
          <w:lang w:eastAsia="ko-KR"/>
        </w:rPr>
        <w:sectPr w:rsidR="00E3761C" w:rsidRPr="00366677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>В.А. Герасименк</w:t>
      </w:r>
      <w:r w:rsidR="00830D46" w:rsidRPr="00366677">
        <w:rPr>
          <w:rFonts w:eastAsia="Batang"/>
          <w:sz w:val="28"/>
          <w:lang w:eastAsia="ko-KR"/>
        </w:rPr>
        <w:t>о</w:t>
      </w: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830D46" w:rsidRPr="00366677" w:rsidSect="00E3761C">
          <w:type w:val="continuous"/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C55665" w:rsidP="00E3761C">
            <w:r>
              <w:t>2022</w:t>
            </w:r>
            <w:r w:rsidR="00E3761C" w:rsidRPr="00366677">
              <w:t xml:space="preserve"> год</w:t>
            </w:r>
          </w:p>
        </w:tc>
        <w:tc>
          <w:tcPr>
            <w:tcW w:w="851" w:type="dxa"/>
          </w:tcPr>
          <w:p w:rsidR="00E3761C" w:rsidRPr="00366677" w:rsidRDefault="00C55665" w:rsidP="00E3761C">
            <w:r>
              <w:t>2023</w:t>
            </w:r>
            <w:r w:rsidR="00E3761C" w:rsidRPr="00366677">
              <w:t xml:space="preserve"> год</w:t>
            </w:r>
          </w:p>
        </w:tc>
        <w:tc>
          <w:tcPr>
            <w:tcW w:w="992" w:type="dxa"/>
          </w:tcPr>
          <w:p w:rsidR="00E3761C" w:rsidRPr="00366677" w:rsidRDefault="00C55665" w:rsidP="00E3761C">
            <w:r>
              <w:t>2024</w:t>
            </w:r>
            <w:r w:rsidR="00E3761C" w:rsidRPr="00366677">
              <w:t xml:space="preserve">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Осуществление мониторинга жалоб и обращений граждан на предмет наличия в них информации о фактах </w:t>
            </w:r>
            <w:r w:rsidRPr="00366677">
              <w:lastRenderedPageBreak/>
              <w:t>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1B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lastRenderedPageBreak/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="001B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нарушения законодательства 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 w:rsidR="00BD368A" w:rsidRPr="00366677">
              <w:t>тематике (</w:t>
            </w:r>
            <w:r w:rsidRPr="00366677">
              <w:t>семинары, лекции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применению законодательства российской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сельского поселения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rPr>
          <w:trHeight w:val="477"/>
        </w:trPr>
        <w:tc>
          <w:tcPr>
            <w:tcW w:w="817" w:type="dxa"/>
            <w:vMerge w:val="restart"/>
          </w:tcPr>
          <w:p w:rsidR="005F5A60" w:rsidRPr="00366677" w:rsidRDefault="005F5A60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F5A60" w:rsidRPr="00366677" w:rsidRDefault="005F5A60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 Новоджерелиевского сельского поселения</w:t>
            </w:r>
          </w:p>
        </w:tc>
        <w:tc>
          <w:tcPr>
            <w:tcW w:w="2911" w:type="dxa"/>
            <w:vMerge w:val="restart"/>
          </w:tcPr>
          <w:p w:rsidR="005F5A60" w:rsidRPr="00366677" w:rsidRDefault="005F5A60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5F5A60" w:rsidRPr="00366677" w:rsidTr="00E3761C">
        <w:trPr>
          <w:trHeight w:val="477"/>
        </w:trPr>
        <w:tc>
          <w:tcPr>
            <w:tcW w:w="817" w:type="dxa"/>
            <w:vMerge/>
          </w:tcPr>
          <w:p w:rsidR="005F5A60" w:rsidRPr="00366677" w:rsidRDefault="005F5A60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Доведение до лиц, замещающих должности муниципальной службы </w:t>
            </w:r>
            <w:r w:rsidRPr="00366677">
              <w:lastRenderedPageBreak/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</w:t>
            </w: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</w:t>
            </w:r>
            <w:r w:rsidRPr="00366677">
              <w:lastRenderedPageBreak/>
              <w:t>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5F5A60" w:rsidRPr="00366677" w:rsidRDefault="005F5A60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E3761C"/>
        </w:tc>
        <w:tc>
          <w:tcPr>
            <w:tcW w:w="2911" w:type="dxa"/>
            <w:vMerge w:val="restart"/>
          </w:tcPr>
          <w:p w:rsidR="005F5A60" w:rsidRPr="00366677" w:rsidRDefault="005F5A60" w:rsidP="00E3761C"/>
        </w:tc>
      </w:tr>
      <w:tr w:rsidR="005F5A60" w:rsidRPr="00366677" w:rsidTr="00E3761C">
        <w:tc>
          <w:tcPr>
            <w:tcW w:w="3794" w:type="dxa"/>
            <w:gridSpan w:val="2"/>
            <w:vMerge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DA2C6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DA2C6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1B26CC" w:rsidRPr="00F70364" w:rsidRDefault="001B26CC" w:rsidP="001B26CC">
      <w:pPr>
        <w:suppressAutoHyphens w:val="0"/>
        <w:ind w:firstLine="851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Заместитель </w:t>
      </w:r>
      <w:r w:rsidRPr="00F70364">
        <w:rPr>
          <w:rFonts w:eastAsia="Batang"/>
          <w:sz w:val="28"/>
          <w:lang w:eastAsia="ko-KR"/>
        </w:rPr>
        <w:t>главы</w:t>
      </w:r>
    </w:p>
    <w:p w:rsidR="001B26CC" w:rsidRDefault="001B26CC" w:rsidP="001B26CC">
      <w:pPr>
        <w:tabs>
          <w:tab w:val="left" w:pos="3180"/>
        </w:tabs>
        <w:suppressAutoHyphens w:val="0"/>
        <w:ind w:firstLine="851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  <w:r>
        <w:rPr>
          <w:rFonts w:eastAsia="Batang"/>
          <w:sz w:val="28"/>
          <w:lang w:eastAsia="ko-KR"/>
        </w:rPr>
        <w:tab/>
      </w:r>
    </w:p>
    <w:p w:rsidR="001B26CC" w:rsidRDefault="001B26CC" w:rsidP="001B26CC">
      <w:pPr>
        <w:suppressAutoHyphens w:val="0"/>
        <w:ind w:firstLine="851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сельского поселения 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</w:p>
    <w:p w:rsidR="00E3761C" w:rsidRPr="00366677" w:rsidRDefault="001B26CC" w:rsidP="001B26CC">
      <w:pPr>
        <w:suppressAutoHyphens w:val="0"/>
        <w:ind w:left="851"/>
        <w:jc w:val="both"/>
        <w:rPr>
          <w:sz w:val="28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>В.А. Герасименк</w:t>
      </w:r>
      <w:r>
        <w:rPr>
          <w:rFonts w:eastAsia="Batang"/>
          <w:sz w:val="28"/>
          <w:lang w:eastAsia="ko-KR"/>
        </w:rPr>
        <w:t>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lastRenderedPageBreak/>
        <w:t>ПРИЛОЖЕНИЕ № 4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5F5A6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2D5BB9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2D5BB9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5F5A6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1B26CC" w:rsidRPr="00F70364" w:rsidRDefault="001B26CC" w:rsidP="001B26CC">
      <w:pPr>
        <w:suppressAutoHyphens w:val="0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Заместитель </w:t>
      </w:r>
      <w:r w:rsidRPr="00F70364">
        <w:rPr>
          <w:rFonts w:eastAsia="Batang"/>
          <w:sz w:val="28"/>
          <w:lang w:eastAsia="ko-KR"/>
        </w:rPr>
        <w:t>главы</w:t>
      </w:r>
    </w:p>
    <w:p w:rsidR="001B26CC" w:rsidRDefault="001B26CC" w:rsidP="001B26CC">
      <w:pPr>
        <w:suppressAutoHyphens w:val="0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</w:p>
    <w:p w:rsidR="001B26CC" w:rsidRDefault="001B26CC" w:rsidP="001B26CC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 xml:space="preserve">сельского поселения 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</w:p>
    <w:p w:rsidR="00BD368A" w:rsidRPr="00271050" w:rsidRDefault="001B26CC" w:rsidP="001B26CC">
      <w:pPr>
        <w:rPr>
          <w:sz w:val="28"/>
          <w:szCs w:val="28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>В.А. Герасименк</w:t>
      </w:r>
      <w:r>
        <w:rPr>
          <w:rFonts w:eastAsia="Batang"/>
          <w:sz w:val="28"/>
          <w:lang w:eastAsia="ko-KR"/>
        </w:rPr>
        <w:t>о</w:t>
      </w: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1E" w:rsidRDefault="00F0461E" w:rsidP="00F47E9C">
      <w:r>
        <w:separator/>
      </w:r>
    </w:p>
  </w:endnote>
  <w:endnote w:type="continuationSeparator" w:id="0">
    <w:p w:rsidR="00F0461E" w:rsidRDefault="00F0461E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7C" w:rsidRDefault="00C0547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7C" w:rsidRDefault="00C0547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7C" w:rsidRDefault="00C0547C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1E" w:rsidRDefault="00F0461E" w:rsidP="00F47E9C">
      <w:r>
        <w:separator/>
      </w:r>
    </w:p>
  </w:footnote>
  <w:footnote w:type="continuationSeparator" w:id="0">
    <w:p w:rsidR="00F0461E" w:rsidRDefault="00F0461E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7C" w:rsidRDefault="00C05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7C" w:rsidRDefault="00C054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427949"/>
      <w:docPartObj>
        <w:docPartGallery w:val="Page Numbers (Top of Page)"/>
        <w:docPartUnique/>
      </w:docPartObj>
    </w:sdtPr>
    <w:sdtContent>
      <w:p w:rsidR="00C0547C" w:rsidRDefault="00C054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DA2C66" w:rsidRDefault="00DA2C6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 w:rsidP="00E3761C">
    <w:pPr>
      <w:pStyle w:val="a3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66" w:rsidRDefault="00DA2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635C"/>
    <w:rsid w:val="0001036F"/>
    <w:rsid w:val="0001068B"/>
    <w:rsid w:val="00017ECC"/>
    <w:rsid w:val="0002199C"/>
    <w:rsid w:val="00023332"/>
    <w:rsid w:val="000262DB"/>
    <w:rsid w:val="000307DB"/>
    <w:rsid w:val="0003500C"/>
    <w:rsid w:val="00040F70"/>
    <w:rsid w:val="0004480C"/>
    <w:rsid w:val="00051C5D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5C4F"/>
    <w:rsid w:val="00177859"/>
    <w:rsid w:val="00177CBC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26CC"/>
    <w:rsid w:val="001B41A6"/>
    <w:rsid w:val="001B433C"/>
    <w:rsid w:val="001B5B1C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30515"/>
    <w:rsid w:val="00232449"/>
    <w:rsid w:val="00232D66"/>
    <w:rsid w:val="00233B77"/>
    <w:rsid w:val="00234A63"/>
    <w:rsid w:val="00234ACD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68C8"/>
    <w:rsid w:val="002D0EBB"/>
    <w:rsid w:val="002D37C3"/>
    <w:rsid w:val="002D3D3D"/>
    <w:rsid w:val="002D400C"/>
    <w:rsid w:val="002D4392"/>
    <w:rsid w:val="002D5BB9"/>
    <w:rsid w:val="002E2529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317"/>
    <w:rsid w:val="003850B2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471B"/>
    <w:rsid w:val="0041761C"/>
    <w:rsid w:val="00423D49"/>
    <w:rsid w:val="004407A4"/>
    <w:rsid w:val="004508F1"/>
    <w:rsid w:val="0045283A"/>
    <w:rsid w:val="0045497D"/>
    <w:rsid w:val="00456A93"/>
    <w:rsid w:val="00462CD7"/>
    <w:rsid w:val="004719C5"/>
    <w:rsid w:val="00471CC0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5B6C"/>
    <w:rsid w:val="00546510"/>
    <w:rsid w:val="005476E3"/>
    <w:rsid w:val="00551E79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2C07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67E6"/>
    <w:rsid w:val="005A70E2"/>
    <w:rsid w:val="005B07B1"/>
    <w:rsid w:val="005B7D6F"/>
    <w:rsid w:val="005C1888"/>
    <w:rsid w:val="005C1A8B"/>
    <w:rsid w:val="005C4E5E"/>
    <w:rsid w:val="005D019D"/>
    <w:rsid w:val="005D105C"/>
    <w:rsid w:val="005D4CC9"/>
    <w:rsid w:val="005E652E"/>
    <w:rsid w:val="005E76AC"/>
    <w:rsid w:val="005F093C"/>
    <w:rsid w:val="005F4AD4"/>
    <w:rsid w:val="005F5A60"/>
    <w:rsid w:val="005F685D"/>
    <w:rsid w:val="0060190A"/>
    <w:rsid w:val="0060587E"/>
    <w:rsid w:val="00631CF1"/>
    <w:rsid w:val="00632A48"/>
    <w:rsid w:val="0063507E"/>
    <w:rsid w:val="006401FA"/>
    <w:rsid w:val="00645D25"/>
    <w:rsid w:val="00646177"/>
    <w:rsid w:val="00650207"/>
    <w:rsid w:val="00651C66"/>
    <w:rsid w:val="00653EA9"/>
    <w:rsid w:val="006553AB"/>
    <w:rsid w:val="006743EF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9C0"/>
    <w:rsid w:val="006A7117"/>
    <w:rsid w:val="006B5331"/>
    <w:rsid w:val="006B620B"/>
    <w:rsid w:val="006C2136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6F4D"/>
    <w:rsid w:val="006F7057"/>
    <w:rsid w:val="006F78CE"/>
    <w:rsid w:val="00707AE2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2E3B"/>
    <w:rsid w:val="00754783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64AC"/>
    <w:rsid w:val="007A6B89"/>
    <w:rsid w:val="007A6F34"/>
    <w:rsid w:val="007B3807"/>
    <w:rsid w:val="007B3D8E"/>
    <w:rsid w:val="007B4AE4"/>
    <w:rsid w:val="007C18DB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5589F"/>
    <w:rsid w:val="008607D5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6AB2"/>
    <w:rsid w:val="008A7621"/>
    <w:rsid w:val="008B0681"/>
    <w:rsid w:val="008B418C"/>
    <w:rsid w:val="008C0564"/>
    <w:rsid w:val="008C191A"/>
    <w:rsid w:val="008C1A48"/>
    <w:rsid w:val="008D2D67"/>
    <w:rsid w:val="008D3F76"/>
    <w:rsid w:val="008E155A"/>
    <w:rsid w:val="008E1A3F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6487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DD3"/>
    <w:rsid w:val="00A36D18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91B14"/>
    <w:rsid w:val="00A952B7"/>
    <w:rsid w:val="00AA202B"/>
    <w:rsid w:val="00AA3589"/>
    <w:rsid w:val="00AA3D32"/>
    <w:rsid w:val="00AB4710"/>
    <w:rsid w:val="00AB4D2D"/>
    <w:rsid w:val="00AB54A6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10F54"/>
    <w:rsid w:val="00B110AA"/>
    <w:rsid w:val="00B151C1"/>
    <w:rsid w:val="00B2077B"/>
    <w:rsid w:val="00B22FD0"/>
    <w:rsid w:val="00B32E98"/>
    <w:rsid w:val="00B33E9E"/>
    <w:rsid w:val="00B37516"/>
    <w:rsid w:val="00B43856"/>
    <w:rsid w:val="00B51281"/>
    <w:rsid w:val="00B514CA"/>
    <w:rsid w:val="00B51D77"/>
    <w:rsid w:val="00B63FB8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A004F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C00EB2"/>
    <w:rsid w:val="00C0547C"/>
    <w:rsid w:val="00C110E1"/>
    <w:rsid w:val="00C16D1D"/>
    <w:rsid w:val="00C17DF2"/>
    <w:rsid w:val="00C238B4"/>
    <w:rsid w:val="00C25CF8"/>
    <w:rsid w:val="00C27D7A"/>
    <w:rsid w:val="00C31A3A"/>
    <w:rsid w:val="00C328A0"/>
    <w:rsid w:val="00C42EBE"/>
    <w:rsid w:val="00C55665"/>
    <w:rsid w:val="00C6247B"/>
    <w:rsid w:val="00C62BCA"/>
    <w:rsid w:val="00C65ED7"/>
    <w:rsid w:val="00C71578"/>
    <w:rsid w:val="00C73BE2"/>
    <w:rsid w:val="00C76A48"/>
    <w:rsid w:val="00C86ECC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7067"/>
    <w:rsid w:val="00D1312A"/>
    <w:rsid w:val="00D14FB6"/>
    <w:rsid w:val="00D17EFC"/>
    <w:rsid w:val="00D17F7B"/>
    <w:rsid w:val="00D30792"/>
    <w:rsid w:val="00D31A99"/>
    <w:rsid w:val="00D325A6"/>
    <w:rsid w:val="00D367BB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A0E7D"/>
    <w:rsid w:val="00DA2C66"/>
    <w:rsid w:val="00DA3DAD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7612"/>
    <w:rsid w:val="00E209D1"/>
    <w:rsid w:val="00E2178A"/>
    <w:rsid w:val="00E217F3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B1200"/>
    <w:rsid w:val="00EB181F"/>
    <w:rsid w:val="00EB258D"/>
    <w:rsid w:val="00EB4BFF"/>
    <w:rsid w:val="00EC0AC1"/>
    <w:rsid w:val="00EC6DE9"/>
    <w:rsid w:val="00ED1961"/>
    <w:rsid w:val="00ED1D10"/>
    <w:rsid w:val="00EE136D"/>
    <w:rsid w:val="00EE4D55"/>
    <w:rsid w:val="00EF3626"/>
    <w:rsid w:val="00EF429F"/>
    <w:rsid w:val="00EF613E"/>
    <w:rsid w:val="00F034F3"/>
    <w:rsid w:val="00F0461E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B6A50"/>
    <w:rsid w:val="00FC1598"/>
    <w:rsid w:val="00FC3ABC"/>
    <w:rsid w:val="00FD192E"/>
    <w:rsid w:val="00FD527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873D9A-D95F-42D2-90FE-A5E86AD8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garantF1://12064203.0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5A70-8822-4A05-8D31-2BD7C640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48</Pages>
  <Words>10371</Words>
  <Characters>59118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69351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16</cp:revision>
  <cp:lastPrinted>2021-10-13T13:15:00Z</cp:lastPrinted>
  <dcterms:created xsi:type="dcterms:W3CDTF">2020-07-06T13:04:00Z</dcterms:created>
  <dcterms:modified xsi:type="dcterms:W3CDTF">2021-10-26T07:46:00Z</dcterms:modified>
</cp:coreProperties>
</file>