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БРЮХОВЕЦКОГО РАЙОНА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2D5BB9" w:rsidRDefault="002D5BB9" w:rsidP="002D5BB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2D5BB9" w:rsidRDefault="002D5BB9" w:rsidP="002D5BB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6776B">
        <w:rPr>
          <w:sz w:val="28"/>
          <w:szCs w:val="28"/>
          <w:lang w:eastAsia="ru-RU"/>
        </w:rPr>
        <w:t>26.10.2021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  <w:r w:rsidR="0086776B">
        <w:rPr>
          <w:sz w:val="28"/>
          <w:szCs w:val="28"/>
          <w:lang w:eastAsia="ru-RU"/>
        </w:rPr>
        <w:t>161</w:t>
      </w:r>
    </w:p>
    <w:p w:rsidR="002D5BB9" w:rsidRDefault="002D5BB9" w:rsidP="002D5BB9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ст-ца Новоджерелиевская</w:t>
      </w:r>
    </w:p>
    <w:p w:rsidR="002D5BB9" w:rsidRDefault="002D5BB9" w:rsidP="002D5BB9">
      <w:pPr>
        <w:suppressAutoHyphens w:val="0"/>
        <w:jc w:val="center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jc w:val="center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</w:t>
      </w:r>
      <w:r>
        <w:rPr>
          <w:b/>
          <w:sz w:val="28"/>
          <w:lang w:eastAsia="ru-RU"/>
        </w:rPr>
        <w:t xml:space="preserve">муниципальной программы </w:t>
      </w:r>
      <w:r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>
        <w:rPr>
          <w:b/>
          <w:sz w:val="28"/>
          <w:szCs w:val="28"/>
          <w:lang w:eastAsia="ru-RU"/>
        </w:rPr>
        <w:t>»</w:t>
      </w:r>
      <w:r>
        <w:rPr>
          <w:b/>
          <w:lang w:eastAsia="ru-RU"/>
        </w:rPr>
        <w:t xml:space="preserve"> </w:t>
      </w:r>
      <w:r>
        <w:rPr>
          <w:b/>
          <w:sz w:val="28"/>
          <w:lang w:eastAsia="ru-RU"/>
        </w:rPr>
        <w:t>на 2022-2024 годы</w:t>
      </w:r>
    </w:p>
    <w:p w:rsidR="002D5BB9" w:rsidRDefault="002D5BB9" w:rsidP="002D5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  <w:lang w:eastAsia="ru-RU"/>
        </w:rPr>
        <w:t xml:space="preserve">, </w:t>
      </w:r>
      <w:r>
        <w:rPr>
          <w:sz w:val="28"/>
          <w:szCs w:val="28"/>
          <w:shd w:val="clear" w:color="auto" w:fill="FFFFFF"/>
          <w:lang w:eastAsia="ru-RU"/>
        </w:rPr>
        <w:br/>
        <w:t>п</w:t>
      </w:r>
      <w:r>
        <w:rPr>
          <w:sz w:val="28"/>
          <w:szCs w:val="28"/>
          <w:lang w:eastAsia="ru-RU"/>
        </w:rPr>
        <w:t xml:space="preserve"> о с т а н о в л я ю:</w:t>
      </w:r>
    </w:p>
    <w:p w:rsidR="002D5BB9" w:rsidRDefault="002D5BB9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0" w:name="sub_1"/>
      <w:r>
        <w:rPr>
          <w:sz w:val="28"/>
          <w:szCs w:val="28"/>
          <w:lang w:eastAsia="ru-RU"/>
        </w:rPr>
        <w:t>1. Утвердить</w:t>
      </w:r>
      <w:r w:rsidRPr="002D5BB9">
        <w:rPr>
          <w:szCs w:val="28"/>
          <w:lang w:eastAsia="ru-RU"/>
        </w:rPr>
        <w:t xml:space="preserve"> </w:t>
      </w:r>
      <w:r w:rsidRPr="002D5BB9">
        <w:rPr>
          <w:sz w:val="28"/>
          <w:szCs w:val="28"/>
          <w:lang w:eastAsia="ru-RU"/>
        </w:rPr>
        <w:t>муниципальную программу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>
        <w:rPr>
          <w:sz w:val="28"/>
          <w:szCs w:val="28"/>
          <w:lang w:eastAsia="ru-RU"/>
        </w:rPr>
        <w:t>»</w:t>
      </w:r>
      <w:r>
        <w:rPr>
          <w:lang w:eastAsia="ru-RU"/>
        </w:rPr>
        <w:t xml:space="preserve"> </w:t>
      </w:r>
      <w:r>
        <w:rPr>
          <w:sz w:val="28"/>
          <w:lang w:eastAsia="ru-RU"/>
        </w:rPr>
        <w:t xml:space="preserve">на 2022-2024 годы </w:t>
      </w:r>
      <w:r>
        <w:rPr>
          <w:sz w:val="28"/>
          <w:szCs w:val="28"/>
          <w:lang w:eastAsia="ru-RU"/>
        </w:rPr>
        <w:t>(приложение).</w:t>
      </w:r>
    </w:p>
    <w:p w:rsidR="00471CC0" w:rsidRDefault="00471CC0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2D5BB9" w:rsidRDefault="00471CC0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5"/>
      <w:bookmarkEnd w:id="0"/>
      <w:r>
        <w:rPr>
          <w:sz w:val="28"/>
          <w:szCs w:val="28"/>
          <w:lang w:eastAsia="ru-RU"/>
        </w:rPr>
        <w:t>3</w:t>
      </w:r>
      <w:r w:rsidR="002D5BB9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D5BB9" w:rsidRDefault="00471CC0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D5BB9">
        <w:rPr>
          <w:sz w:val="28"/>
          <w:szCs w:val="28"/>
          <w:lang w:eastAsia="ru-RU"/>
        </w:rPr>
        <w:t xml:space="preserve">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2022 год», предусматривающего финансирование муниципальной программы </w:t>
      </w:r>
      <w:bookmarkEnd w:id="1"/>
      <w:r w:rsidR="002D5BB9">
        <w:rPr>
          <w:sz w:val="28"/>
          <w:szCs w:val="28"/>
          <w:lang w:eastAsia="ru-RU"/>
        </w:rPr>
        <w:t>«</w:t>
      </w:r>
      <w:r w:rsidR="002D5BB9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2D5BB9">
        <w:rPr>
          <w:sz w:val="28"/>
          <w:szCs w:val="28"/>
          <w:lang w:eastAsia="ru-RU"/>
        </w:rPr>
        <w:t>»</w:t>
      </w:r>
      <w:r w:rsidR="002D5BB9">
        <w:rPr>
          <w:lang w:eastAsia="ru-RU"/>
        </w:rPr>
        <w:t xml:space="preserve"> </w:t>
      </w:r>
      <w:r w:rsidR="002D5BB9">
        <w:rPr>
          <w:sz w:val="28"/>
          <w:lang w:eastAsia="ru-RU"/>
        </w:rPr>
        <w:t>на 2022-2024 годы.</w:t>
      </w: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</w:p>
    <w:p w:rsidR="00084947" w:rsidRDefault="00084947" w:rsidP="002D5BB9">
      <w:pPr>
        <w:suppressAutoHyphens w:val="0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Новоджерелиевского</w:t>
      </w: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Брюховецкого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О.В. Ткаченко</w:t>
      </w:r>
    </w:p>
    <w:p w:rsidR="00653EA9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71CC0">
        <w:rPr>
          <w:sz w:val="28"/>
          <w:szCs w:val="28"/>
        </w:rPr>
        <w:t>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86776B">
        <w:rPr>
          <w:sz w:val="28"/>
        </w:rPr>
        <w:t>26.10.2021 г.</w:t>
      </w:r>
      <w:r>
        <w:rPr>
          <w:sz w:val="28"/>
        </w:rPr>
        <w:t xml:space="preserve"> № </w:t>
      </w:r>
      <w:r w:rsidR="0086776B">
        <w:rPr>
          <w:sz w:val="28"/>
        </w:rPr>
        <w:t>161</w:t>
      </w:r>
      <w:bookmarkStart w:id="2" w:name="_GoBack"/>
      <w:bookmarkEnd w:id="2"/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21C" w:rsidRDefault="0076021C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lastRenderedPageBreak/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645D25">
              <w:rPr>
                <w:sz w:val="28"/>
                <w:szCs w:val="28"/>
                <w:lang w:eastAsia="ru-RU"/>
              </w:rPr>
              <w:t xml:space="preserve"> </w:t>
            </w:r>
            <w:r w:rsidR="00645D25">
              <w:rPr>
                <w:sz w:val="28"/>
                <w:szCs w:val="28"/>
                <w:lang w:eastAsia="ru-RU"/>
              </w:rPr>
              <w:br/>
              <w:t>63,0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27C2E">
              <w:rPr>
                <w:sz w:val="28"/>
                <w:szCs w:val="28"/>
                <w:lang w:eastAsia="ru-RU"/>
              </w:rPr>
              <w:t xml:space="preserve"> 63,0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21C">
              <w:rPr>
                <w:sz w:val="28"/>
                <w:szCs w:val="28"/>
              </w:rPr>
              <w:t>23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45D25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645D25">
              <w:rPr>
                <w:snapToGrid w:val="0"/>
                <w:sz w:val="28"/>
                <w:szCs w:val="28"/>
              </w:rPr>
              <w:t>30,0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10,0</w:t>
            </w:r>
            <w:r w:rsidR="00E9240C">
              <w:rPr>
                <w:sz w:val="28"/>
                <w:szCs w:val="28"/>
              </w:rPr>
              <w:t xml:space="preserve"> 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645D25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BD1F76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BD1F76">
              <w:rPr>
                <w:snapToGrid w:val="0"/>
                <w:sz w:val="28"/>
                <w:szCs w:val="28"/>
              </w:rPr>
              <w:t>15,0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BD1F76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BD1F76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5,0</w:t>
            </w:r>
            <w:r w:rsidR="00366677" w:rsidRPr="00366677">
              <w:rPr>
                <w:sz w:val="28"/>
                <w:szCs w:val="28"/>
              </w:rPr>
              <w:t>тыс.</w:t>
            </w:r>
            <w:r w:rsidR="000307DB"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BD1F76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5,0</w:t>
            </w:r>
            <w:r w:rsidR="000307DB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DA2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A2C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- оптимизация финансовых и материальных ресурсов органов местного </w:t>
      </w:r>
      <w:r w:rsidRPr="00203539">
        <w:rPr>
          <w:sz w:val="28"/>
          <w:szCs w:val="28"/>
        </w:rPr>
        <w:lastRenderedPageBreak/>
        <w:t>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6" w:name="YANDEX_861"/>
      <w:bookmarkStart w:id="7" w:name="YANDEX_862"/>
      <w:bookmarkStart w:id="8" w:name="YANDEX_863"/>
      <w:bookmarkStart w:id="9" w:name="YANDEX_864"/>
      <w:bookmarkEnd w:id="6"/>
      <w:bookmarkEnd w:id="7"/>
      <w:bookmarkEnd w:id="8"/>
      <w:bookmarkEnd w:id="9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10" w:name="YANDEX_911"/>
      <w:bookmarkStart w:id="11" w:name="YANDEX_912"/>
      <w:bookmarkStart w:id="12" w:name="YANDEX_913"/>
      <w:bookmarkStart w:id="13" w:name="YANDEX_914"/>
      <w:bookmarkEnd w:id="10"/>
      <w:bookmarkEnd w:id="11"/>
      <w:bookmarkEnd w:id="12"/>
      <w:bookmarkEnd w:id="13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C0547C">
          <w:pgSz w:w="11905" w:h="16837"/>
          <w:pgMar w:top="993" w:right="567" w:bottom="1134" w:left="1701" w:header="720" w:footer="720" w:gutter="0"/>
          <w:pgNumType w:start="1"/>
          <w:cols w:space="720"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DA2C66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 xml:space="preserve">на 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DA2C66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DA2C66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DA2C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 xml:space="preserve">е пожарной безопасности» на </w:t>
            </w:r>
            <w:r w:rsidR="000262DB">
              <w:rPr>
                <w:rFonts w:ascii="Times New Roman" w:hAnsi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пожарной безопасности на территории Новоджерелиевского сельского поселения;создание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согласия; достижение взаимопонимания и взаимного уважения в вопросах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DA2C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</w:t>
            </w:r>
            <w:r w:rsidR="000262DB">
              <w:rPr>
                <w:sz w:val="28"/>
                <w:szCs w:val="28"/>
              </w:rPr>
              <w:t>2022-2024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 xml:space="preserve">е пожарной безопасности» на </w:t>
            </w:r>
            <w:r w:rsidR="000262DB">
              <w:rPr>
                <w:sz w:val="28"/>
                <w:szCs w:val="28"/>
              </w:rPr>
              <w:t>2022-2024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</w:t>
            </w:r>
            <w:r w:rsidR="00084947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DA2C66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993C15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5" w:name="sub_1051"/>
      <w:bookmarkEnd w:id="14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5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DA2C66" w:rsidP="005A2923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A2923" w:rsidRPr="002D528C">
        <w:rPr>
          <w:sz w:val="28"/>
          <w:szCs w:val="28"/>
        </w:rPr>
        <w:t xml:space="preserve"> главы </w:t>
      </w:r>
    </w:p>
    <w:p w:rsidR="00DA2C66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2C66" w:rsidRDefault="00DA2C66" w:rsidP="00197FC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0EB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00EB2">
        <w:rPr>
          <w:sz w:val="28"/>
          <w:szCs w:val="28"/>
        </w:rPr>
        <w:t>поселения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A2C66">
        <w:rPr>
          <w:sz w:val="28"/>
          <w:szCs w:val="28"/>
        </w:rPr>
        <w:tab/>
      </w:r>
      <w:r w:rsidR="00DA2C66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 xml:space="preserve">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DA2C66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» 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 годы</w:t>
      </w:r>
      <w:r w:rsidR="00DA2C66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30,0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30,0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10,0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</w:t>
      </w:r>
      <w:r w:rsidRPr="00873F6F">
        <w:rPr>
          <w:rFonts w:eastAsia="Batang"/>
          <w:sz w:val="28"/>
          <w:szCs w:val="28"/>
          <w:lang w:eastAsia="ko-KR"/>
        </w:rPr>
        <w:lastRenderedPageBreak/>
        <w:t>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885EC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</w:t>
            </w:r>
            <w:r w:rsidR="00162A35"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830" w:type="dxa"/>
            <w:vAlign w:val="center"/>
          </w:tcPr>
          <w:p w:rsidR="009F19E4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0" w:type="dxa"/>
            <w:vAlign w:val="center"/>
          </w:tcPr>
          <w:p w:rsidR="009F19E4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1" w:type="dxa"/>
            <w:vAlign w:val="center"/>
          </w:tcPr>
          <w:p w:rsidR="009F19E4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830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0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1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DA2C66" w:rsidP="009F19E4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</w:t>
      </w:r>
      <w:r w:rsidR="009F19E4" w:rsidRPr="009F19E4">
        <w:rPr>
          <w:rFonts w:eastAsia="Batang"/>
          <w:sz w:val="28"/>
          <w:lang w:eastAsia="ko-KR"/>
        </w:rPr>
        <w:t xml:space="preserve"> главы</w:t>
      </w:r>
    </w:p>
    <w:p w:rsidR="00DA2C66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Новоджерелиевского</w:t>
      </w:r>
    </w:p>
    <w:p w:rsidR="00DA2C66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сельского </w:t>
      </w:r>
      <w:r w:rsidR="00E108C1">
        <w:rPr>
          <w:rFonts w:eastAsia="Batang"/>
          <w:sz w:val="28"/>
          <w:lang w:eastAsia="ko-KR"/>
        </w:rPr>
        <w:t>п</w:t>
      </w:r>
      <w:r w:rsidRPr="009F19E4">
        <w:rPr>
          <w:rFonts w:eastAsia="Batang"/>
          <w:sz w:val="28"/>
          <w:lang w:eastAsia="ko-KR"/>
        </w:rPr>
        <w:t>оселения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Брюховецкого района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DA2C66">
        <w:rPr>
          <w:rFonts w:eastAsia="Batang"/>
          <w:sz w:val="28"/>
          <w:lang w:eastAsia="ko-KR"/>
        </w:rPr>
        <w:tab/>
      </w:r>
      <w:r w:rsidR="00DA2C66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9F19E4" w:rsidP="00582C07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 xml:space="preserve">» на </w:t>
      </w:r>
      <w:r w:rsidR="000262DB">
        <w:rPr>
          <w:color w:val="000000"/>
          <w:sz w:val="28"/>
          <w:szCs w:val="28"/>
        </w:rPr>
        <w:t>2022-2024</w:t>
      </w:r>
      <w:r w:rsidRPr="00821AD3">
        <w:rPr>
          <w:color w:val="000000"/>
          <w:sz w:val="28"/>
          <w:szCs w:val="28"/>
        </w:rPr>
        <w:t xml:space="preserve"> годы</w:t>
      </w: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DA2C66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DA2C66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DA2C66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DA2C66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Заместитель</w:t>
      </w:r>
      <w:r w:rsidR="009F19E4"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DA2C66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</w:t>
      </w:r>
    </w:p>
    <w:p w:rsidR="00DA2C66" w:rsidRDefault="00DA2C66" w:rsidP="009F19E4">
      <w:pPr>
        <w:suppressAutoHyphens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</w:t>
      </w:r>
      <w:r w:rsidR="009F19E4" w:rsidRPr="00BE5A7A">
        <w:rPr>
          <w:rFonts w:eastAsia="Batang"/>
          <w:sz w:val="28"/>
          <w:szCs w:val="28"/>
          <w:lang w:eastAsia="ko-KR"/>
        </w:rPr>
        <w:t>ельского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E108C1"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</w:p>
    <w:p w:rsidR="00DE141E" w:rsidRPr="00217D83" w:rsidRDefault="009F19E4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A2C66">
      <w:pPr>
        <w:suppressAutoHyphens w:val="0"/>
        <w:ind w:firstLine="5529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DE141E">
        <w:rPr>
          <w:snapToGrid w:val="0"/>
          <w:sz w:val="28"/>
          <w:szCs w:val="28"/>
        </w:rPr>
        <w:t xml:space="preserve">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 xml:space="preserve">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» 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 годы</w:t>
      </w:r>
      <w:r w:rsidR="00582C07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0262DB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6743EF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6743EF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C55665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6743E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C55665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754783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</w:t>
            </w:r>
            <w:r w:rsidR="006743EF">
              <w:rPr>
                <w:rFonts w:eastAsia="Batang"/>
                <w:color w:val="000000"/>
                <w:sz w:val="28"/>
                <w:szCs w:val="28"/>
                <w:lang w:eastAsia="ko-KR"/>
              </w:rPr>
              <w:t>д – 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C55665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6743E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 w:rsidR="006743EF"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6743EF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F70364">
        <w:rPr>
          <w:b/>
          <w:sz w:val="28"/>
          <w:szCs w:val="28"/>
          <w:lang w:eastAsia="ru-RU"/>
        </w:rPr>
        <w:t xml:space="preserve">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Подпрограмма № 2 «Обеспечение пожарной безопасности» 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F7036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C55665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2022</w:t>
            </w:r>
          </w:p>
        </w:tc>
        <w:tc>
          <w:tcPr>
            <w:tcW w:w="830" w:type="dxa"/>
          </w:tcPr>
          <w:p w:rsidR="00F70364" w:rsidRPr="00F70364" w:rsidRDefault="00C55665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2023</w:t>
            </w:r>
          </w:p>
        </w:tc>
        <w:tc>
          <w:tcPr>
            <w:tcW w:w="1611" w:type="dxa"/>
          </w:tcPr>
          <w:p w:rsidR="00F70364" w:rsidRPr="00F70364" w:rsidRDefault="00C55665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2024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</w:tr>
      <w:tr w:rsidR="006743EF" w:rsidRPr="00F70364" w:rsidTr="00F70364">
        <w:tc>
          <w:tcPr>
            <w:tcW w:w="2660" w:type="dxa"/>
          </w:tcPr>
          <w:p w:rsidR="006743EF" w:rsidRPr="00F70364" w:rsidRDefault="006743EF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6743EF" w:rsidRPr="00F70364" w:rsidRDefault="006743EF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6743EF" w:rsidRPr="00F70364" w:rsidRDefault="006743EF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30" w:type="dxa"/>
          </w:tcPr>
          <w:p w:rsidR="006743EF" w:rsidRPr="00F70364" w:rsidRDefault="006743EF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30" w:type="dxa"/>
          </w:tcPr>
          <w:p w:rsidR="006743EF" w:rsidRDefault="006743EF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611" w:type="dxa"/>
          </w:tcPr>
          <w:p w:rsidR="006743EF" w:rsidRDefault="006743EF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DA2C66" w:rsidP="00F70364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="00F70364" w:rsidRPr="00F70364">
        <w:rPr>
          <w:rFonts w:eastAsia="Batang"/>
          <w:sz w:val="28"/>
          <w:lang w:eastAsia="ko-KR"/>
        </w:rPr>
        <w:t>главы</w:t>
      </w:r>
    </w:p>
    <w:p w:rsidR="00DA2C66" w:rsidRDefault="00F70364" w:rsidP="003A1966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3A1966" w:rsidRDefault="003A1966" w:rsidP="003A1966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F70364" w:rsidRDefault="003A1966" w:rsidP="003A1966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F70364" w:rsidRPr="00F70364">
        <w:rPr>
          <w:rFonts w:eastAsia="Batang"/>
          <w:sz w:val="28"/>
          <w:lang w:eastAsia="ko-KR"/>
        </w:rPr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 xml:space="preserve">» на </w:t>
      </w:r>
      <w:r w:rsidR="000262DB">
        <w:rPr>
          <w:color w:val="000000"/>
          <w:sz w:val="28"/>
          <w:szCs w:val="28"/>
        </w:rPr>
        <w:t>2022-2024</w:t>
      </w:r>
      <w:r w:rsidRPr="00821AD3">
        <w:rPr>
          <w:color w:val="000000"/>
          <w:sz w:val="28"/>
          <w:szCs w:val="28"/>
        </w:rPr>
        <w:t xml:space="preserve">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C55665" w:rsidP="00F70364">
            <w:pPr>
              <w:jc w:val="center"/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C55665" w:rsidP="00F70364">
            <w:pPr>
              <w:jc w:val="center"/>
            </w:pPr>
            <w: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C55665" w:rsidP="00F70364">
            <w:pPr>
              <w:jc w:val="center"/>
            </w:pPr>
            <w:r>
              <w:t>2024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E4055B" w:rsidRPr="00F70364" w:rsidTr="00DA2C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Default="00E4055B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Default="00E4055B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E4055B" w:rsidRPr="00F70364" w:rsidTr="00E4055B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E4055B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E4055B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Default="00E4055B" w:rsidP="00E4055B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Default="00E4055B" w:rsidP="00E4055B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DA2C66" w:rsidRPr="00BE5A7A" w:rsidRDefault="00DA2C66" w:rsidP="001B26CC">
      <w:pPr>
        <w:suppressAutoHyphens w:val="0"/>
        <w:ind w:firstLine="851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Заместитель</w:t>
      </w:r>
      <w:r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DA2C66" w:rsidRDefault="00DA2C66" w:rsidP="001B26CC">
      <w:pPr>
        <w:suppressAutoHyphens w:val="0"/>
        <w:ind w:firstLine="851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</w:t>
      </w:r>
    </w:p>
    <w:p w:rsidR="00DA2C66" w:rsidRDefault="00DA2C66" w:rsidP="001B26CC">
      <w:pPr>
        <w:suppressAutoHyphens w:val="0"/>
        <w:ind w:firstLine="85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</w:t>
      </w:r>
      <w:r w:rsidRPr="00BE5A7A">
        <w:rPr>
          <w:rFonts w:eastAsia="Batang"/>
          <w:sz w:val="28"/>
          <w:szCs w:val="28"/>
          <w:lang w:eastAsia="ko-KR"/>
        </w:rPr>
        <w:t>ельского</w:t>
      </w:r>
      <w:r>
        <w:rPr>
          <w:rFonts w:eastAsia="Batang"/>
          <w:sz w:val="28"/>
          <w:szCs w:val="28"/>
          <w:lang w:eastAsia="ko-KR"/>
        </w:rPr>
        <w:t xml:space="preserve"> п</w:t>
      </w:r>
      <w:r w:rsidRPr="00BE5A7A">
        <w:rPr>
          <w:rFonts w:eastAsia="Batang"/>
          <w:sz w:val="28"/>
          <w:szCs w:val="28"/>
          <w:lang w:eastAsia="ko-KR"/>
        </w:rPr>
        <w:t>оселения</w:t>
      </w:r>
    </w:p>
    <w:p w:rsidR="00ED1961" w:rsidRDefault="00DA2C66" w:rsidP="00DA2C66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BE5A7A">
        <w:rPr>
          <w:rFonts w:eastAsia="Batang"/>
          <w:sz w:val="28"/>
          <w:szCs w:val="28"/>
          <w:lang w:eastAsia="ko-KR"/>
        </w:rPr>
        <w:t xml:space="preserve">Брюховецкого района </w:t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  <w:t>В.А. Герасименко</w:t>
      </w:r>
      <w:r>
        <w:rPr>
          <w:rFonts w:eastAsia="Batang"/>
          <w:sz w:val="28"/>
          <w:lang w:eastAsia="ko-KR"/>
        </w:rPr>
        <w:t xml:space="preserve"> 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0262DB">
        <w:rPr>
          <w:snapToGrid w:val="0"/>
          <w:sz w:val="28"/>
          <w:szCs w:val="28"/>
        </w:rPr>
        <w:t>2022-2024</w:t>
      </w:r>
      <w:r w:rsidRPr="00366677">
        <w:rPr>
          <w:snapToGrid w:val="0"/>
          <w:sz w:val="28"/>
          <w:szCs w:val="28"/>
        </w:rPr>
        <w:t xml:space="preserve">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E4055B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1B26CC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1B26CC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0262DB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43856" w:rsidRPr="00366677">
              <w:rPr>
                <w:sz w:val="28"/>
                <w:szCs w:val="28"/>
              </w:rPr>
              <w:t xml:space="preserve">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</w:t>
            </w:r>
            <w:r w:rsidR="00082699">
              <w:rPr>
                <w:sz w:val="28"/>
                <w:szCs w:val="28"/>
              </w:rPr>
              <w:t>авляет 15</w:t>
            </w:r>
            <w:r w:rsidR="004F5311" w:rsidRPr="00366677">
              <w:rPr>
                <w:sz w:val="28"/>
                <w:szCs w:val="28"/>
              </w:rPr>
              <w:t>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0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1B26CC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366677">
        <w:rPr>
          <w:sz w:val="28"/>
          <w:szCs w:val="28"/>
        </w:rPr>
        <w:t xml:space="preserve"> - </w:t>
      </w:r>
      <w:r w:rsidR="00C55665">
        <w:rPr>
          <w:sz w:val="28"/>
          <w:szCs w:val="28"/>
        </w:rPr>
        <w:t>2024</w:t>
      </w:r>
      <w:r w:rsidRPr="00366677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2699" w:rsidRPr="00366677" w:rsidTr="00D94866">
        <w:tc>
          <w:tcPr>
            <w:tcW w:w="709" w:type="dxa"/>
            <w:vMerge w:val="restart"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699" w:rsidRPr="00366677" w:rsidRDefault="00082699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82699" w:rsidRDefault="00082699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82699" w:rsidRDefault="00082699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082699" w:rsidRPr="00366677" w:rsidTr="00082699">
        <w:tc>
          <w:tcPr>
            <w:tcW w:w="709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B26CC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1B26CC" w:rsidRPr="00F70364" w:rsidRDefault="001B26CC" w:rsidP="001B26CC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Pr="00F70364">
        <w:rPr>
          <w:rFonts w:eastAsia="Batang"/>
          <w:sz w:val="28"/>
          <w:lang w:eastAsia="ko-KR"/>
        </w:rPr>
        <w:t>главы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E3761C" w:rsidRPr="00366677" w:rsidRDefault="001B26CC" w:rsidP="001B26CC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>В.А. Герасименк</w:t>
      </w:r>
      <w:r w:rsidR="00830D46" w:rsidRPr="00366677">
        <w:rPr>
          <w:rFonts w:eastAsia="Batang"/>
          <w:sz w:val="28"/>
          <w:lang w:eastAsia="ko-KR"/>
        </w:rPr>
        <w:t>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C55665" w:rsidP="00E3761C">
            <w:r>
              <w:t>2022</w:t>
            </w:r>
            <w:r w:rsidR="00E3761C" w:rsidRPr="00366677">
              <w:t xml:space="preserve"> год</w:t>
            </w:r>
          </w:p>
        </w:tc>
        <w:tc>
          <w:tcPr>
            <w:tcW w:w="851" w:type="dxa"/>
          </w:tcPr>
          <w:p w:rsidR="00E3761C" w:rsidRPr="00366677" w:rsidRDefault="00C55665" w:rsidP="00E3761C">
            <w:r>
              <w:t>2023</w:t>
            </w:r>
            <w:r w:rsidR="00E3761C" w:rsidRPr="00366677">
              <w:t xml:space="preserve"> год</w:t>
            </w:r>
          </w:p>
        </w:tc>
        <w:tc>
          <w:tcPr>
            <w:tcW w:w="992" w:type="dxa"/>
          </w:tcPr>
          <w:p w:rsidR="00E3761C" w:rsidRPr="00366677" w:rsidRDefault="00C55665" w:rsidP="00E3761C">
            <w:r>
              <w:t>2024</w:t>
            </w:r>
            <w:r w:rsidR="00E3761C" w:rsidRPr="00366677">
              <w:t xml:space="preserve">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1B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1B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F5A60" w:rsidRPr="00366677" w:rsidRDefault="005F5A60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F5A60" w:rsidRPr="00366677" w:rsidRDefault="005F5A60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Новоджерелиевского сельского поселения</w:t>
            </w:r>
          </w:p>
        </w:tc>
        <w:tc>
          <w:tcPr>
            <w:tcW w:w="2911" w:type="dxa"/>
            <w:vMerge w:val="restart"/>
          </w:tcPr>
          <w:p w:rsidR="005F5A60" w:rsidRPr="00366677" w:rsidRDefault="005F5A60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5F5A60" w:rsidRPr="00366677" w:rsidTr="00E3761C">
        <w:trPr>
          <w:trHeight w:val="477"/>
        </w:trPr>
        <w:tc>
          <w:tcPr>
            <w:tcW w:w="817" w:type="dxa"/>
            <w:vMerge/>
          </w:tcPr>
          <w:p w:rsidR="005F5A60" w:rsidRPr="00366677" w:rsidRDefault="005F5A60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5F5A60" w:rsidRPr="00366677" w:rsidRDefault="005F5A60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E3761C"/>
        </w:tc>
        <w:tc>
          <w:tcPr>
            <w:tcW w:w="2911" w:type="dxa"/>
            <w:vMerge w:val="restart"/>
          </w:tcPr>
          <w:p w:rsidR="005F5A60" w:rsidRPr="00366677" w:rsidRDefault="005F5A60" w:rsidP="00E3761C"/>
        </w:tc>
      </w:tr>
      <w:tr w:rsidR="005F5A60" w:rsidRPr="00366677" w:rsidTr="00E3761C">
        <w:tc>
          <w:tcPr>
            <w:tcW w:w="3794" w:type="dxa"/>
            <w:gridSpan w:val="2"/>
            <w:vMerge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1B26CC" w:rsidRPr="00F70364" w:rsidRDefault="001B26CC" w:rsidP="001B26CC">
      <w:pPr>
        <w:suppressAutoHyphens w:val="0"/>
        <w:ind w:firstLine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Pr="00F70364">
        <w:rPr>
          <w:rFonts w:eastAsia="Batang"/>
          <w:sz w:val="28"/>
          <w:lang w:eastAsia="ko-KR"/>
        </w:rPr>
        <w:t>главы</w:t>
      </w:r>
    </w:p>
    <w:p w:rsidR="001B26CC" w:rsidRDefault="001B26CC" w:rsidP="001B26CC">
      <w:pPr>
        <w:tabs>
          <w:tab w:val="left" w:pos="3180"/>
        </w:tabs>
        <w:suppressAutoHyphens w:val="0"/>
        <w:ind w:firstLine="851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  <w:r>
        <w:rPr>
          <w:rFonts w:eastAsia="Batang"/>
          <w:sz w:val="28"/>
          <w:lang w:eastAsia="ko-KR"/>
        </w:rPr>
        <w:tab/>
      </w:r>
    </w:p>
    <w:p w:rsidR="001B26CC" w:rsidRDefault="001B26CC" w:rsidP="001B26CC">
      <w:pPr>
        <w:suppressAutoHyphens w:val="0"/>
        <w:ind w:firstLine="851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E3761C" w:rsidRPr="00366677" w:rsidRDefault="001B26CC" w:rsidP="001B26CC">
      <w:pPr>
        <w:suppressAutoHyphens w:val="0"/>
        <w:ind w:left="851"/>
        <w:jc w:val="both"/>
        <w:rPr>
          <w:sz w:val="28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>В.А. Герасименк</w:t>
      </w:r>
      <w:r>
        <w:rPr>
          <w:rFonts w:eastAsia="Batang"/>
          <w:sz w:val="28"/>
          <w:lang w:eastAsia="ko-KR"/>
        </w:rPr>
        <w:t>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5F5A6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2D5BB9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2D5BB9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5F5A6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1B26CC" w:rsidRPr="00F70364" w:rsidRDefault="001B26CC" w:rsidP="001B26CC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Pr="00F70364">
        <w:rPr>
          <w:rFonts w:eastAsia="Batang"/>
          <w:sz w:val="28"/>
          <w:lang w:eastAsia="ko-KR"/>
        </w:rPr>
        <w:t>главы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BD368A" w:rsidRPr="00271050" w:rsidRDefault="001B26CC" w:rsidP="001B26CC">
      <w:pPr>
        <w:rPr>
          <w:sz w:val="28"/>
          <w:szCs w:val="28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>В.А. Герасименк</w:t>
      </w:r>
      <w:r>
        <w:rPr>
          <w:rFonts w:eastAsia="Batang"/>
          <w:sz w:val="28"/>
          <w:lang w:eastAsia="ko-KR"/>
        </w:rPr>
        <w:t>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15" w:rsidRDefault="00993C15" w:rsidP="00F47E9C">
      <w:r>
        <w:separator/>
      </w:r>
    </w:p>
  </w:endnote>
  <w:endnote w:type="continuationSeparator" w:id="0">
    <w:p w:rsidR="00993C15" w:rsidRDefault="00993C15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15" w:rsidRDefault="00993C15" w:rsidP="00F47E9C">
      <w:r>
        <w:separator/>
      </w:r>
    </w:p>
  </w:footnote>
  <w:footnote w:type="continuationSeparator" w:id="0">
    <w:p w:rsidR="00993C15" w:rsidRDefault="00993C15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635C"/>
    <w:rsid w:val="0001036F"/>
    <w:rsid w:val="0001068B"/>
    <w:rsid w:val="00017ECC"/>
    <w:rsid w:val="0002199C"/>
    <w:rsid w:val="00023332"/>
    <w:rsid w:val="000262DB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4947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26CC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8C8"/>
    <w:rsid w:val="002D0EBB"/>
    <w:rsid w:val="002D37C3"/>
    <w:rsid w:val="002D3D3D"/>
    <w:rsid w:val="002D400C"/>
    <w:rsid w:val="002D4392"/>
    <w:rsid w:val="002D5BB9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08F1"/>
    <w:rsid w:val="0045283A"/>
    <w:rsid w:val="0045497D"/>
    <w:rsid w:val="00456A93"/>
    <w:rsid w:val="00462CD7"/>
    <w:rsid w:val="004719C5"/>
    <w:rsid w:val="00471CC0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5B6C"/>
    <w:rsid w:val="00546510"/>
    <w:rsid w:val="005476E3"/>
    <w:rsid w:val="00551E79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4AD4"/>
    <w:rsid w:val="005F5A60"/>
    <w:rsid w:val="005F685D"/>
    <w:rsid w:val="0060190A"/>
    <w:rsid w:val="0060587E"/>
    <w:rsid w:val="00631CF1"/>
    <w:rsid w:val="00632A48"/>
    <w:rsid w:val="0063507E"/>
    <w:rsid w:val="006401FA"/>
    <w:rsid w:val="00645D25"/>
    <w:rsid w:val="00646177"/>
    <w:rsid w:val="00650207"/>
    <w:rsid w:val="00651C66"/>
    <w:rsid w:val="00653EA9"/>
    <w:rsid w:val="006553AB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5331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6776B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3C15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952B7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0547C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55665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A0E7D"/>
    <w:rsid w:val="00DA2C66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7612"/>
    <w:rsid w:val="00E209D1"/>
    <w:rsid w:val="00E2178A"/>
    <w:rsid w:val="00E217F3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5A52"/>
    <w:rsid w:val="00E57CD6"/>
    <w:rsid w:val="00E57F8F"/>
    <w:rsid w:val="00E61498"/>
    <w:rsid w:val="00E61758"/>
    <w:rsid w:val="00E64CE6"/>
    <w:rsid w:val="00E66533"/>
    <w:rsid w:val="00E712D5"/>
    <w:rsid w:val="00E91F9D"/>
    <w:rsid w:val="00E9240C"/>
    <w:rsid w:val="00EB1200"/>
    <w:rsid w:val="00EB181F"/>
    <w:rsid w:val="00EB258D"/>
    <w:rsid w:val="00EB4BFF"/>
    <w:rsid w:val="00EC0AC1"/>
    <w:rsid w:val="00EC6DE9"/>
    <w:rsid w:val="00ED1961"/>
    <w:rsid w:val="00ED1D10"/>
    <w:rsid w:val="00EE136D"/>
    <w:rsid w:val="00EE4D55"/>
    <w:rsid w:val="00EF3626"/>
    <w:rsid w:val="00EF429F"/>
    <w:rsid w:val="00EF613E"/>
    <w:rsid w:val="00F034F3"/>
    <w:rsid w:val="00F0461E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B6A50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873D9A-D95F-42D2-90FE-A5E86AD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8FEC-2F42-44EA-AE37-64DB3FE8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46</Pages>
  <Words>10370</Words>
  <Characters>59110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18</cp:revision>
  <cp:lastPrinted>2021-10-13T13:15:00Z</cp:lastPrinted>
  <dcterms:created xsi:type="dcterms:W3CDTF">2020-07-06T13:04:00Z</dcterms:created>
  <dcterms:modified xsi:type="dcterms:W3CDTF">2021-10-29T14:50:00Z</dcterms:modified>
</cp:coreProperties>
</file>