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0830">
        <w:rPr>
          <w:sz w:val="28"/>
          <w:szCs w:val="28"/>
        </w:rPr>
        <w:t>05.04.2023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40830">
        <w:rPr>
          <w:sz w:val="28"/>
          <w:szCs w:val="28"/>
        </w:rPr>
        <w:t>47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1D094E" w:rsidRDefault="001D094E" w:rsidP="00B96BCF">
      <w:pPr>
        <w:ind w:firstLine="5103"/>
        <w:jc w:val="center"/>
        <w:rPr>
          <w:sz w:val="28"/>
          <w:szCs w:val="28"/>
        </w:rPr>
      </w:pP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0830">
        <w:rPr>
          <w:sz w:val="28"/>
          <w:szCs w:val="28"/>
        </w:rPr>
        <w:t>05.04.2023 г.</w:t>
      </w:r>
      <w:r>
        <w:rPr>
          <w:sz w:val="28"/>
          <w:szCs w:val="28"/>
        </w:rPr>
        <w:t xml:space="preserve"> № </w:t>
      </w:r>
      <w:r w:rsidR="00440830">
        <w:rPr>
          <w:sz w:val="28"/>
          <w:szCs w:val="28"/>
        </w:rPr>
        <w:t>47</w:t>
      </w:r>
      <w:bookmarkStart w:id="0" w:name="_GoBack"/>
      <w:bookmarkEnd w:id="0"/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1308E" w:rsidRPr="00B96BCF" w:rsidRDefault="0091308E" w:rsidP="0091308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91308E" w:rsidRPr="0091308E" w:rsidRDefault="0091308E" w:rsidP="0091308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Pr="0091308E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EE4D55" w:rsidRPr="00366677" w:rsidRDefault="00EE4D55" w:rsidP="005329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645D25">
              <w:rPr>
                <w:sz w:val="28"/>
                <w:szCs w:val="28"/>
                <w:lang w:eastAsia="ru-RU"/>
              </w:rPr>
              <w:br/>
              <w:t>63,0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27C2E">
              <w:rPr>
                <w:sz w:val="28"/>
                <w:szCs w:val="28"/>
                <w:lang w:eastAsia="ru-RU"/>
              </w:rPr>
              <w:t xml:space="preserve"> 63,0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021C">
              <w:rPr>
                <w:sz w:val="28"/>
                <w:szCs w:val="28"/>
              </w:rPr>
              <w:t>23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6021C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2024 год – 21,0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7908F2">
              <w:rPr>
                <w:sz w:val="28"/>
              </w:rPr>
              <w:t xml:space="preserve"> </w:t>
            </w:r>
            <w:r w:rsidR="007A3289"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  <w:r w:rsidR="0099528B" w:rsidRPr="007A3289">
              <w:rPr>
                <w:snapToGrid w:val="0"/>
                <w:sz w:val="28"/>
                <w:szCs w:val="28"/>
              </w:rPr>
              <w:t>-</w:t>
            </w:r>
            <w:r w:rsidR="002E6B70">
              <w:rPr>
                <w:snapToGrid w:val="0"/>
                <w:sz w:val="28"/>
                <w:szCs w:val="28"/>
              </w:rPr>
              <w:t>45,0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2247EE" w:rsidRDefault="00645D25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5B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5B28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</w:r>
      <w:r w:rsidRPr="00366677">
        <w:rPr>
          <w:sz w:val="28"/>
          <w:szCs w:val="28"/>
        </w:rPr>
        <w:lastRenderedPageBreak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4" w:name="YANDEX_861"/>
      <w:bookmarkStart w:id="5" w:name="YANDEX_862"/>
      <w:bookmarkStart w:id="6" w:name="YANDEX_863"/>
      <w:bookmarkStart w:id="7" w:name="YANDEX_864"/>
      <w:bookmarkEnd w:id="4"/>
      <w:bookmarkEnd w:id="5"/>
      <w:bookmarkEnd w:id="6"/>
      <w:bookmarkEnd w:id="7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8" w:name="YANDEX_911"/>
      <w:bookmarkStart w:id="9" w:name="YANDEX_912"/>
      <w:bookmarkStart w:id="10" w:name="YANDEX_913"/>
      <w:bookmarkStart w:id="11" w:name="YANDEX_914"/>
      <w:bookmarkEnd w:id="8"/>
      <w:bookmarkEnd w:id="9"/>
      <w:bookmarkEnd w:id="10"/>
      <w:bookmarkEnd w:id="11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7908F2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7908F2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7908F2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>на</w:t>
            </w:r>
            <w:r w:rsidR="007908F2">
              <w:rPr>
                <w:sz w:val="28"/>
              </w:rPr>
              <w:t xml:space="preserve"> 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 w:rsidRPr="007908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7908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AF2A80">
        <w:tc>
          <w:tcPr>
            <w:tcW w:w="817" w:type="dxa"/>
            <w:shd w:val="clear" w:color="auto" w:fill="auto"/>
            <w:vAlign w:val="center"/>
          </w:tcPr>
          <w:p w:rsidR="008C1A48" w:rsidRPr="005C2807" w:rsidRDefault="0095163E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AF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AF2A8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8C1A48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AF2A80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95163E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8C1A48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8C1A48" w:rsidP="00AF2A8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171A3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171A3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6375E3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908F2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  <w:r w:rsidR="000F0EFD" w:rsidRPr="007908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F0EFD" w:rsidRPr="007908F2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Противодействие</w:t>
            </w:r>
            <w:r w:rsidR="000F0EFD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="000F0EFD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7908F2">
              <w:rPr>
                <w:rFonts w:eastAsia="Arial"/>
                <w:sz w:val="28"/>
                <w:szCs w:val="28"/>
              </w:rPr>
              <w:t>Подпрограмма</w:t>
            </w:r>
            <w:r w:rsidR="006375E3" w:rsidRPr="007908F2">
              <w:rPr>
                <w:rFonts w:eastAsia="Arial"/>
                <w:sz w:val="28"/>
                <w:szCs w:val="28"/>
              </w:rPr>
              <w:t xml:space="preserve"> №3</w:t>
            </w:r>
            <w:r w:rsidR="005079F7" w:rsidRPr="007908F2">
              <w:rPr>
                <w:rFonts w:eastAsia="Arial"/>
                <w:sz w:val="28"/>
                <w:szCs w:val="28"/>
              </w:rPr>
              <w:t xml:space="preserve"> «</w:t>
            </w:r>
            <w:r w:rsidR="005079F7" w:rsidRPr="007908F2">
              <w:rPr>
                <w:sz w:val="28"/>
                <w:szCs w:val="28"/>
              </w:rPr>
              <w:t>Гармонизация</w:t>
            </w:r>
            <w:r w:rsidR="005079F7" w:rsidRPr="00366677">
              <w:rPr>
                <w:sz w:val="28"/>
                <w:szCs w:val="28"/>
              </w:rPr>
              <w:t xml:space="preserve">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E2178A" w:rsidRPr="006375E3" w:rsidRDefault="00E2178A" w:rsidP="008C1A48">
      <w:pPr>
        <w:jc w:val="both"/>
        <w:rPr>
          <w:sz w:val="28"/>
          <w:szCs w:val="28"/>
          <w:lang w:val="en-US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6375E3">
          <w:pgSz w:w="16837" w:h="11905" w:orient="landscape"/>
          <w:pgMar w:top="85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Гармонизация межнациональных </w:t>
            </w:r>
            <w:r w:rsidR="00396F7F" w:rsidRPr="00366677">
              <w:rPr>
                <w:sz w:val="28"/>
                <w:szCs w:val="28"/>
              </w:rPr>
              <w:lastRenderedPageBreak/>
              <w:t>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EA0FA7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3" w:name="sub_1051"/>
      <w:bookmarkEnd w:id="12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3"/>
    </w:p>
    <w:p w:rsidR="00726F47" w:rsidRDefault="00726F47" w:rsidP="00B80900">
      <w:pPr>
        <w:rPr>
          <w:sz w:val="28"/>
        </w:rPr>
      </w:pPr>
    </w:p>
    <w:p w:rsidR="00C5511E" w:rsidRDefault="00C5511E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7908F2" w:rsidP="00B7680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C61BE" w:rsidRPr="000042D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>
        <w:rPr>
          <w:b/>
          <w:sz w:val="28"/>
          <w:szCs w:val="28"/>
        </w:rPr>
        <w:t>»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lastRenderedPageBreak/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создание резервов (запасов) материальных ресурсов для ликвидации </w:t>
            </w:r>
            <w:r w:rsidRPr="00873F6F">
              <w:rPr>
                <w:sz w:val="28"/>
                <w:szCs w:val="28"/>
                <w:lang w:eastAsia="ko-KR"/>
              </w:rPr>
              <w:lastRenderedPageBreak/>
              <w:t>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</w:t>
            </w: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45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руб. в т.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ч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естного бюджета– 45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</w:t>
            </w:r>
            <w:r w:rsidR="007908F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</w:t>
      </w:r>
      <w:r w:rsidRPr="00873F6F">
        <w:rPr>
          <w:rFonts w:eastAsia="Batang"/>
          <w:sz w:val="28"/>
          <w:szCs w:val="28"/>
          <w:lang w:eastAsia="ko-KR"/>
        </w:rPr>
        <w:lastRenderedPageBreak/>
        <w:t>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9F7D5C">
      <w:pPr>
        <w:shd w:val="clear" w:color="auto" w:fill="FFFFFF"/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7908F2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31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45,0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  <w:tr w:rsidR="00162A35" w:rsidRPr="009F19E4" w:rsidTr="00B10F54">
        <w:tc>
          <w:tcPr>
            <w:tcW w:w="2410" w:type="dxa"/>
          </w:tcPr>
          <w:p w:rsidR="00162A35" w:rsidRPr="009F19E4" w:rsidRDefault="00162A3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62A35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45,0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656955" w:rsidP="009F19E4">
      <w:pPr>
        <w:tabs>
          <w:tab w:val="left" w:pos="709"/>
        </w:tabs>
        <w:rPr>
          <w:sz w:val="28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</w:t>
      </w:r>
      <w:r w:rsidR="00FB1AB7">
        <w:rPr>
          <w:sz w:val="28"/>
        </w:rPr>
        <w:t xml:space="preserve">                                                                       </w:t>
      </w:r>
      <w:r w:rsidRPr="009F19E4">
        <w:rPr>
          <w:sz w:val="28"/>
        </w:rPr>
        <w:t>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E234BF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="00C9096B" w:rsidRPr="00C9096B">
              <w:rPr>
                <w:lang w:eastAsia="ru-RU"/>
              </w:rPr>
              <w:t>;</w:t>
            </w:r>
          </w:p>
          <w:p w:rsidR="00C9096B" w:rsidRPr="00F70364" w:rsidRDefault="00C9096B" w:rsidP="00C9096B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 xml:space="preserve"> снижение рисков пожаров и смягчение возможных их последствий;</w:t>
            </w:r>
          </w:p>
          <w:p w:rsidR="00C9096B" w:rsidRPr="00C9096B" w:rsidRDefault="00C9096B" w:rsidP="00C909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171A39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171A39" w:rsidRDefault="00171A39" w:rsidP="00171A39">
      <w:pPr>
        <w:ind w:left="510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 № 2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муниципальной программе </w:t>
      </w:r>
    </w:p>
    <w:p w:rsidR="00171A39" w:rsidRDefault="00171A39" w:rsidP="00171A39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jc w:val="center"/>
        <w:rPr>
          <w:b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Подпрограмма 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 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rPr>
          <w:b/>
          <w:snapToGrid w:val="0"/>
          <w:sz w:val="28"/>
          <w:szCs w:val="28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подпрограммы</w:t>
      </w: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 Новоджерелиевском сельском поселении Брюховецкого района» муниципальной программы «Обеспечение безопасности населения Новоджерелиевского сельского поселения Брюховецкого района» на 2022-2024 годы</w:t>
      </w: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</w:p>
    <w:p w:rsidR="00171A39" w:rsidRDefault="00171A39" w:rsidP="0017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норм </w:t>
            </w:r>
            <w:r>
              <w:rPr>
                <w:sz w:val="28"/>
                <w:szCs w:val="28"/>
              </w:rPr>
              <w:lastRenderedPageBreak/>
              <w:t xml:space="preserve">антикоррупционного поведения жителями, проживающими в </w:t>
            </w:r>
            <w:r>
              <w:rPr>
                <w:snapToGrid w:val="0"/>
                <w:sz w:val="28"/>
                <w:szCs w:val="28"/>
              </w:rPr>
              <w:t>Новоджерелиевском</w:t>
            </w:r>
            <w:r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sz w:val="28"/>
                <w:szCs w:val="28"/>
              </w:rPr>
              <w:t>Новоджерелиевского</w:t>
            </w:r>
            <w:r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171A39" w:rsidRDefault="00171A39" w:rsidP="002837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годы,</w:t>
            </w:r>
          </w:p>
          <w:p w:rsidR="00171A39" w:rsidRDefault="00171A39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171A39" w:rsidRDefault="00171A39"/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Брюховецкого района составляет 15,0 тысяч рублей, из них по годам: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–5,0 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–5,0тысяч рублей;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–5,0 тысяч рублей</w:t>
            </w:r>
          </w:p>
          <w:p w:rsidR="00171A39" w:rsidRDefault="00171A39">
            <w:pPr>
              <w:jc w:val="both"/>
            </w:pPr>
          </w:p>
        </w:tc>
      </w:tr>
      <w:tr w:rsidR="00171A39" w:rsidTr="00171A39">
        <w:trPr>
          <w:trHeight w:val="529"/>
          <w:jc w:val="center"/>
        </w:trPr>
        <w:tc>
          <w:tcPr>
            <w:tcW w:w="3592" w:type="dxa"/>
            <w:hideMark/>
          </w:tcPr>
          <w:p w:rsidR="00171A39" w:rsidRDefault="00171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hideMark/>
          </w:tcPr>
          <w:p w:rsidR="00171A39" w:rsidRDefault="00171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171A39" w:rsidRDefault="00171A39" w:rsidP="00171A39">
      <w:pPr>
        <w:jc w:val="both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>
        <w:rPr>
          <w:b/>
          <w:snapToGrid w:val="0"/>
          <w:sz w:val="28"/>
          <w:szCs w:val="28"/>
        </w:rPr>
        <w:t xml:space="preserve">ротиводействия коррупции в </w:t>
      </w:r>
      <w:r>
        <w:rPr>
          <w:b/>
          <w:sz w:val="28"/>
          <w:szCs w:val="28"/>
        </w:rPr>
        <w:t>Новоджерелиевском</w:t>
      </w:r>
      <w:r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171A39" w:rsidRDefault="00171A39" w:rsidP="00171A39">
      <w:pPr>
        <w:ind w:left="720"/>
        <w:jc w:val="center"/>
        <w:rPr>
          <w:sz w:val="28"/>
          <w:szCs w:val="28"/>
        </w:rPr>
      </w:pP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171A39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171A39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 2008 года № 273-ФЗ «О противодействии коррупции» (далее - Федеральный закон № 273-ФЗ), законом Краснодарского края от 23 июля 2009 года № 1798-КЗ 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>
        <w:rPr>
          <w:sz w:val="28"/>
          <w:szCs w:val="28"/>
        </w:rPr>
        <w:t>Новоджерелиевского</w:t>
      </w:r>
      <w:r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Предупреждение коррупции в </w:t>
      </w:r>
      <w:r>
        <w:rPr>
          <w:sz w:val="28"/>
          <w:szCs w:val="28"/>
        </w:rPr>
        <w:t>Новоджерелиевском</w:t>
      </w:r>
      <w:r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1A39" w:rsidRDefault="00171A39" w:rsidP="00171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sz w:val="28"/>
          <w:szCs w:val="28"/>
        </w:rPr>
        <w:sectPr w:rsidR="00171A39">
          <w:pgSz w:w="11906" w:h="16838"/>
          <w:pgMar w:top="1134" w:right="567" w:bottom="1134" w:left="1701" w:header="720" w:footer="720" w:gutter="0"/>
          <w:cols w:space="720"/>
        </w:sectPr>
      </w:pPr>
    </w:p>
    <w:p w:rsidR="00171A39" w:rsidRDefault="00171A39" w:rsidP="00171A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171A39" w:rsidRDefault="00171A39" w:rsidP="00171A39">
      <w:pPr>
        <w:jc w:val="center"/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843"/>
        <w:gridCol w:w="1843"/>
        <w:gridCol w:w="1843"/>
        <w:gridCol w:w="1557"/>
      </w:tblGrid>
      <w:tr w:rsidR="00171A39" w:rsidTr="002837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171A39" w:rsidTr="0028379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171A39" w:rsidTr="002837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1A39" w:rsidTr="00262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Подпрограмма «Противодействие коррупции в Новоджерелиевском сельском поселении Брюховецкого района»</w:t>
            </w:r>
          </w:p>
        </w:tc>
      </w:tr>
      <w:tr w:rsidR="00171A39" w:rsidTr="00262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26200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2837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 w:rsidP="001F0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9" w:rsidRDefault="00171A39" w:rsidP="001F0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A39" w:rsidRDefault="00171A39" w:rsidP="001F0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 w:rsidP="001F080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 w:rsidP="001F080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 w:rsidP="001F080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подпрограммы 2022 - 2024 годы. Этапы реализации подпрограммы не предусмотрены.</w:t>
      </w:r>
    </w:p>
    <w:p w:rsidR="00171A39" w:rsidRDefault="00171A39" w:rsidP="00171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A39" w:rsidRDefault="00171A39" w:rsidP="00171A39">
      <w:pPr>
        <w:suppressAutoHyphens w:val="0"/>
        <w:rPr>
          <w:rFonts w:eastAsiaTheme="minorEastAsia" w:cstheme="minorBidi"/>
          <w:b/>
          <w:sz w:val="28"/>
          <w:szCs w:val="28"/>
          <w:lang w:eastAsia="ru-RU"/>
        </w:rPr>
        <w:sectPr w:rsidR="00171A39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171A39" w:rsidRDefault="00171A39" w:rsidP="00171A39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71A39" w:rsidRDefault="00171A39" w:rsidP="00171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171A39" w:rsidRDefault="00171A39" w:rsidP="00171A39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171A39" w:rsidRDefault="00171A39" w:rsidP="00171A39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171A39" w:rsidRDefault="00171A39" w:rsidP="00171A39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1701"/>
        <w:gridCol w:w="1276"/>
        <w:gridCol w:w="1276"/>
        <w:gridCol w:w="1275"/>
        <w:gridCol w:w="1134"/>
      </w:tblGrid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всего (тыс.</w:t>
            </w:r>
          </w:p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</w:t>
            </w:r>
          </w:p>
        </w:tc>
      </w:tr>
      <w:tr w:rsidR="00171A39" w:rsidTr="00171A3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A39" w:rsidTr="00171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rFonts w:eastAsiaTheme="minorEastAsia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suppressAutoHyphens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A39" w:rsidRDefault="00171A39" w:rsidP="00171A39">
      <w:pPr>
        <w:ind w:firstLine="709"/>
        <w:jc w:val="both"/>
        <w:rPr>
          <w:sz w:val="28"/>
          <w:szCs w:val="28"/>
        </w:rPr>
      </w:pP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171A39" w:rsidRDefault="00171A39" w:rsidP="00171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171A39" w:rsidRDefault="00171A39" w:rsidP="00171A39">
      <w:pPr>
        <w:pStyle w:val="a8"/>
        <w:numPr>
          <w:ilvl w:val="0"/>
          <w:numId w:val="10"/>
        </w:numPr>
        <w:jc w:val="center"/>
        <w:rPr>
          <w:b/>
          <w:sz w:val="28"/>
        </w:rPr>
      </w:pPr>
      <w:r>
        <w:rPr>
          <w:b/>
          <w:sz w:val="28"/>
        </w:rPr>
        <w:t>Механизм реализации подпрограммы</w:t>
      </w:r>
    </w:p>
    <w:p w:rsidR="00171A39" w:rsidRDefault="00171A39" w:rsidP="00171A39">
      <w:pPr>
        <w:jc w:val="both"/>
        <w:rPr>
          <w:sz w:val="28"/>
        </w:rPr>
      </w:pPr>
    </w:p>
    <w:p w:rsidR="00171A39" w:rsidRDefault="00171A39" w:rsidP="00171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заместитель главы </w:t>
      </w:r>
      <w:r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71A39" w:rsidRDefault="00171A39" w:rsidP="00171A3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pStyle w:val="af2"/>
        <w:rPr>
          <w:rFonts w:ascii="Times New Roman" w:hAnsi="Times New Roman"/>
          <w:sz w:val="24"/>
          <w:szCs w:val="24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  <w:t>В.А. Герасименко</w:t>
      </w:r>
    </w:p>
    <w:p w:rsidR="00171A39" w:rsidRDefault="00171A39" w:rsidP="00171A39">
      <w:pPr>
        <w:suppressAutoHyphens w:val="0"/>
        <w:rPr>
          <w:rFonts w:eastAsia="Batang"/>
          <w:sz w:val="28"/>
          <w:lang w:eastAsia="ko-KR"/>
        </w:rPr>
        <w:sectPr w:rsidR="00171A39">
          <w:pgSz w:w="11906" w:h="16838"/>
          <w:pgMar w:top="993" w:right="567" w:bottom="567" w:left="1134" w:header="720" w:footer="720" w:gutter="0"/>
          <w:cols w:space="720"/>
        </w:sectPr>
      </w:pPr>
    </w:p>
    <w:p w:rsidR="00171A39" w:rsidRDefault="00171A39" w:rsidP="00171A39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подпрограмме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ind w:left="850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Новоджерелиевском сельском поселения Брюховецкого района»</w:t>
      </w:r>
    </w:p>
    <w:p w:rsidR="00171A39" w:rsidRDefault="00171A39" w:rsidP="00171A39">
      <w:pPr>
        <w:widowControl w:val="0"/>
        <w:ind w:left="8505"/>
        <w:jc w:val="center"/>
        <w:rPr>
          <w:sz w:val="28"/>
        </w:rPr>
      </w:pPr>
    </w:p>
    <w:p w:rsidR="00171A39" w:rsidRDefault="00171A39" w:rsidP="00171A39">
      <w:pPr>
        <w:widowControl w:val="0"/>
        <w:jc w:val="center"/>
        <w:rPr>
          <w:snapToGrid w:val="0"/>
          <w:sz w:val="28"/>
          <w:szCs w:val="28"/>
        </w:rPr>
      </w:pPr>
      <w:r>
        <w:rPr>
          <w:sz w:val="28"/>
        </w:rPr>
        <w:t xml:space="preserve">Перечень мероприятия </w:t>
      </w:r>
      <w:r>
        <w:rPr>
          <w:sz w:val="28"/>
          <w:szCs w:val="28"/>
          <w:lang w:eastAsia="ru-RU"/>
        </w:rPr>
        <w:t xml:space="preserve">подпрограммы </w:t>
      </w:r>
      <w:r>
        <w:rPr>
          <w:snapToGrid w:val="0"/>
          <w:sz w:val="28"/>
          <w:szCs w:val="28"/>
        </w:rPr>
        <w:t>«Противодействие коррупции</w:t>
      </w:r>
    </w:p>
    <w:p w:rsidR="00171A39" w:rsidRDefault="00171A39" w:rsidP="00171A39">
      <w:pPr>
        <w:widowControl w:val="0"/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в Новоджерелиевском сельском поселения Брюховецкого района» </w:t>
      </w:r>
    </w:p>
    <w:p w:rsidR="00171A39" w:rsidRDefault="00171A39" w:rsidP="00171A39">
      <w:pPr>
        <w:jc w:val="center"/>
        <w:rPr>
          <w:sz w:val="28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171A39" w:rsidTr="00171A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171A39" w:rsidRDefault="00171A39">
            <w:pPr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ind w:right="-151"/>
              <w:jc w:val="center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171A39" w:rsidTr="0012589C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2589C">
        <w:trPr>
          <w:trHeight w:val="4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9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both"/>
            </w:pPr>
            <w:r>
              <w:t xml:space="preserve">Цели: </w:t>
            </w:r>
          </w:p>
          <w:p w:rsidR="00171A39" w:rsidRDefault="00171A39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171A39" w:rsidTr="00171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both"/>
            </w:pPr>
            <w:r>
              <w:t>Задачи</w:t>
            </w:r>
          </w:p>
        </w:tc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171A39" w:rsidRDefault="00171A39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171A39" w:rsidRDefault="00171A39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</w:tc>
      </w:tr>
      <w:tr w:rsidR="00171A39" w:rsidTr="00AB24EF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A528AD">
            <w:r>
              <w:t>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A39" w:rsidRDefault="00171A39">
            <w:r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>
              <w:lastRenderedPageBreak/>
              <w:t>тематике (семинары,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законодательства российской Федерации о противодействии коррупции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Новоджерелиевского сельского поселения Брюховецкого района</w:t>
            </w:r>
          </w:p>
        </w:tc>
      </w:tr>
      <w:tr w:rsidR="00171A39" w:rsidTr="0012589C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171A39" w:rsidTr="0012589C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>
            <w:pPr>
              <w:jc w:val="center"/>
            </w:pPr>
            <w:r>
              <w:t>0</w:t>
            </w:r>
          </w:p>
          <w:p w:rsidR="00171A39" w:rsidRDefault="00171A3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</w:tr>
      <w:tr w:rsidR="00BE29D2" w:rsidTr="002370A3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  <w:p w:rsidR="00BE29D2" w:rsidRDefault="00BE29D2" w:rsidP="000403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  <w:p w:rsidR="00BE29D2" w:rsidRDefault="00BE29D2" w:rsidP="000403A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>
            <w:pPr>
              <w:rPr>
                <w:lang w:eastAsia="ru-RU"/>
              </w:rPr>
            </w:pPr>
          </w:p>
        </w:tc>
      </w:tr>
      <w:tr w:rsidR="00BE29D2" w:rsidTr="00AB24EF">
        <w:trPr>
          <w:trHeight w:val="56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BE29D2" w:rsidP="005B2808">
            <w:pPr>
              <w:spacing w:line="216" w:lineRule="auto"/>
            </w:pPr>
            <w:r>
              <w:t>внебюджетные источни</w:t>
            </w:r>
            <w:r w:rsidR="000403AB"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2370A3" w:rsidP="005B280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BE29D2">
            <w:pPr>
              <w:jc w:val="center"/>
            </w:pPr>
            <w:r>
              <w:t>0</w:t>
            </w:r>
          </w:p>
          <w:p w:rsidR="00BE29D2" w:rsidRDefault="00BE29D2">
            <w:pPr>
              <w:jc w:val="center"/>
            </w:pPr>
          </w:p>
          <w:p w:rsidR="00BE29D2" w:rsidRDefault="00BE29D2" w:rsidP="000403A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2370A3" w:rsidP="000403A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D2" w:rsidRDefault="002370A3" w:rsidP="000403AB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>
            <w:pPr>
              <w:rPr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D2" w:rsidRDefault="00BE29D2">
            <w:pPr>
              <w:rPr>
                <w:lang w:eastAsia="ru-RU"/>
              </w:rPr>
            </w:pPr>
          </w:p>
        </w:tc>
      </w:tr>
      <w:tr w:rsidR="00171A39" w:rsidTr="00171A39"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9" w:rsidRDefault="00171A39"/>
        </w:tc>
      </w:tr>
      <w:tr w:rsidR="00171A39" w:rsidTr="0012589C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2589C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2589C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  <w:tr w:rsidR="00171A39" w:rsidTr="0012589C"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39" w:rsidRDefault="00171A39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39" w:rsidRDefault="00171A39"/>
        </w:tc>
      </w:tr>
    </w:tbl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ind w:left="567"/>
        <w:jc w:val="center"/>
        <w:rPr>
          <w:sz w:val="28"/>
        </w:rPr>
      </w:pP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главы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Новоджерелиевского</w:t>
      </w:r>
    </w:p>
    <w:p w:rsidR="00171A39" w:rsidRDefault="00171A39" w:rsidP="00171A39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сельского поселения</w:t>
      </w:r>
    </w:p>
    <w:p w:rsidR="00171A39" w:rsidRPr="005A6552" w:rsidRDefault="00171A39" w:rsidP="005A6552">
      <w:pPr>
        <w:rPr>
          <w:sz w:val="28"/>
          <w:szCs w:val="28"/>
        </w:rPr>
        <w:sectPr w:rsidR="00171A39" w:rsidRPr="005A6552">
          <w:pgSz w:w="16837" w:h="11905" w:orient="landscape"/>
          <w:pgMar w:top="1134" w:right="567" w:bottom="1134" w:left="1701" w:header="142" w:footer="720" w:gutter="0"/>
          <w:cols w:space="720"/>
        </w:sectPr>
      </w:pPr>
      <w:r>
        <w:rPr>
          <w:rFonts w:eastAsia="Batang"/>
          <w:sz w:val="28"/>
          <w:lang w:eastAsia="ko-KR"/>
        </w:rPr>
        <w:t>Брюховецкого райо</w:t>
      </w:r>
      <w:r w:rsidR="005A6552">
        <w:rPr>
          <w:rFonts w:eastAsia="Batang"/>
          <w:sz w:val="28"/>
          <w:lang w:eastAsia="ko-KR"/>
        </w:rPr>
        <w:t>на</w:t>
      </w:r>
      <w:r w:rsidR="007908F2">
        <w:rPr>
          <w:rFonts w:eastAsia="Batang"/>
          <w:sz w:val="28"/>
          <w:lang w:eastAsia="ko-KR"/>
        </w:rPr>
        <w:t xml:space="preserve">                                                                                                                                       </w:t>
      </w:r>
      <w:r w:rsidR="005A6552">
        <w:rPr>
          <w:rFonts w:eastAsia="Batang"/>
          <w:sz w:val="28"/>
          <w:lang w:eastAsia="ko-KR"/>
        </w:rPr>
        <w:t>В.А. Герасименко</w:t>
      </w:r>
    </w:p>
    <w:p w:rsidR="00271050" w:rsidRPr="00271050" w:rsidRDefault="00C13D94" w:rsidP="0027105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7908F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7908F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7908F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7908F2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D56289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</w:t>
      </w:r>
      <w:r w:rsidRPr="00271050">
        <w:rPr>
          <w:sz w:val="28"/>
          <w:szCs w:val="28"/>
        </w:rPr>
        <w:lastRenderedPageBreak/>
        <w:t>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</w:t>
            </w:r>
            <w:r w:rsidR="007908F2">
              <w:t xml:space="preserve"> </w:t>
            </w:r>
            <w:r w:rsidRPr="00651C66">
              <w:t>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</w:t>
            </w:r>
            <w:r w:rsidR="00A30852">
              <w:rPr>
                <w:sz w:val="28"/>
                <w:szCs w:val="28"/>
              </w:rPr>
              <w:t xml:space="preserve"> района</w:t>
            </w:r>
            <w:r w:rsidRPr="002710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</w:t>
            </w:r>
            <w:r w:rsidRPr="00271050">
              <w:rPr>
                <w:sz w:val="28"/>
                <w:szCs w:val="28"/>
              </w:rPr>
              <w:lastRenderedPageBreak/>
              <w:t>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Default="00271050" w:rsidP="00271050">
      <w:pPr>
        <w:rPr>
          <w:sz w:val="28"/>
          <w:szCs w:val="28"/>
        </w:rPr>
      </w:pPr>
    </w:p>
    <w:p w:rsidR="007908F2" w:rsidRPr="00271050" w:rsidRDefault="007908F2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A7" w:rsidRDefault="00EA0FA7" w:rsidP="00F47E9C">
      <w:r>
        <w:separator/>
      </w:r>
    </w:p>
  </w:endnote>
  <w:endnote w:type="continuationSeparator" w:id="0">
    <w:p w:rsidR="00EA0FA7" w:rsidRDefault="00EA0FA7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A7" w:rsidRDefault="00EA0FA7" w:rsidP="00F47E9C">
      <w:r>
        <w:separator/>
      </w:r>
    </w:p>
  </w:footnote>
  <w:footnote w:type="continuationSeparator" w:id="0">
    <w:p w:rsidR="00EA0FA7" w:rsidRDefault="00EA0FA7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80" w:rsidRDefault="00AF2A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3AB"/>
    <w:rsid w:val="00040F70"/>
    <w:rsid w:val="0004480C"/>
    <w:rsid w:val="00051C5D"/>
    <w:rsid w:val="000525C4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2161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589C"/>
    <w:rsid w:val="00126399"/>
    <w:rsid w:val="0012706F"/>
    <w:rsid w:val="0012768E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1A39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94E"/>
    <w:rsid w:val="001D0F99"/>
    <w:rsid w:val="001D1C4F"/>
    <w:rsid w:val="001D2F2B"/>
    <w:rsid w:val="001D4356"/>
    <w:rsid w:val="001D79AB"/>
    <w:rsid w:val="001D7BB6"/>
    <w:rsid w:val="001E4D84"/>
    <w:rsid w:val="001F080E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0A3"/>
    <w:rsid w:val="00237A39"/>
    <w:rsid w:val="00241880"/>
    <w:rsid w:val="00246870"/>
    <w:rsid w:val="00247D6F"/>
    <w:rsid w:val="00255F54"/>
    <w:rsid w:val="00260397"/>
    <w:rsid w:val="00262005"/>
    <w:rsid w:val="00271050"/>
    <w:rsid w:val="00275EBE"/>
    <w:rsid w:val="00276A9F"/>
    <w:rsid w:val="002819BE"/>
    <w:rsid w:val="00282423"/>
    <w:rsid w:val="00282C41"/>
    <w:rsid w:val="0028379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3D3C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761C"/>
    <w:rsid w:val="00423D49"/>
    <w:rsid w:val="0043366E"/>
    <w:rsid w:val="004407A4"/>
    <w:rsid w:val="00440830"/>
    <w:rsid w:val="00442A69"/>
    <w:rsid w:val="00443B4E"/>
    <w:rsid w:val="00445103"/>
    <w:rsid w:val="004454EF"/>
    <w:rsid w:val="004508F1"/>
    <w:rsid w:val="00451B7E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291F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52"/>
    <w:rsid w:val="005A65F7"/>
    <w:rsid w:val="005A67E6"/>
    <w:rsid w:val="005A70E2"/>
    <w:rsid w:val="005B07B1"/>
    <w:rsid w:val="005B2808"/>
    <w:rsid w:val="005B5B5F"/>
    <w:rsid w:val="005B7D6F"/>
    <w:rsid w:val="005C1888"/>
    <w:rsid w:val="005C1A8B"/>
    <w:rsid w:val="005C4E5E"/>
    <w:rsid w:val="005C6FDD"/>
    <w:rsid w:val="005D019D"/>
    <w:rsid w:val="005D105C"/>
    <w:rsid w:val="005D4CC9"/>
    <w:rsid w:val="005E652E"/>
    <w:rsid w:val="005E76AC"/>
    <w:rsid w:val="005F093C"/>
    <w:rsid w:val="005F340F"/>
    <w:rsid w:val="005F4AD4"/>
    <w:rsid w:val="005F5A60"/>
    <w:rsid w:val="005F685D"/>
    <w:rsid w:val="005F778B"/>
    <w:rsid w:val="0060190A"/>
    <w:rsid w:val="0060587E"/>
    <w:rsid w:val="00627EA1"/>
    <w:rsid w:val="00631CF1"/>
    <w:rsid w:val="00632A48"/>
    <w:rsid w:val="0063507E"/>
    <w:rsid w:val="006375E3"/>
    <w:rsid w:val="006401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338"/>
    <w:rsid w:val="006A69C0"/>
    <w:rsid w:val="006A7117"/>
    <w:rsid w:val="006B5331"/>
    <w:rsid w:val="006B620B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0591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0578"/>
    <w:rsid w:val="00752E3B"/>
    <w:rsid w:val="00754783"/>
    <w:rsid w:val="00756A2D"/>
    <w:rsid w:val="00757242"/>
    <w:rsid w:val="0076021C"/>
    <w:rsid w:val="00763CE6"/>
    <w:rsid w:val="00764D86"/>
    <w:rsid w:val="00770AEF"/>
    <w:rsid w:val="00770C28"/>
    <w:rsid w:val="00775231"/>
    <w:rsid w:val="0077736B"/>
    <w:rsid w:val="007805A1"/>
    <w:rsid w:val="00781B86"/>
    <w:rsid w:val="007830C8"/>
    <w:rsid w:val="007854A6"/>
    <w:rsid w:val="00786A98"/>
    <w:rsid w:val="00786B3A"/>
    <w:rsid w:val="00786D38"/>
    <w:rsid w:val="007908F2"/>
    <w:rsid w:val="00790F91"/>
    <w:rsid w:val="00791EA8"/>
    <w:rsid w:val="007956EF"/>
    <w:rsid w:val="007A3289"/>
    <w:rsid w:val="007A64AC"/>
    <w:rsid w:val="007A6B89"/>
    <w:rsid w:val="007A6F34"/>
    <w:rsid w:val="007A7F2C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F5448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89F"/>
    <w:rsid w:val="008607D5"/>
    <w:rsid w:val="0086369D"/>
    <w:rsid w:val="00863810"/>
    <w:rsid w:val="00863C53"/>
    <w:rsid w:val="00867454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91A"/>
    <w:rsid w:val="008C1A48"/>
    <w:rsid w:val="008D2D67"/>
    <w:rsid w:val="008D3F76"/>
    <w:rsid w:val="008E155A"/>
    <w:rsid w:val="008E1A3F"/>
    <w:rsid w:val="008E29A5"/>
    <w:rsid w:val="008E4303"/>
    <w:rsid w:val="008E441C"/>
    <w:rsid w:val="008E5454"/>
    <w:rsid w:val="008E69C8"/>
    <w:rsid w:val="008E7308"/>
    <w:rsid w:val="008E7DA3"/>
    <w:rsid w:val="008F2192"/>
    <w:rsid w:val="008F4DF7"/>
    <w:rsid w:val="008F5D6B"/>
    <w:rsid w:val="008F783D"/>
    <w:rsid w:val="0091308E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14E"/>
    <w:rsid w:val="009A09AD"/>
    <w:rsid w:val="009A40B9"/>
    <w:rsid w:val="009A647E"/>
    <w:rsid w:val="009B245B"/>
    <w:rsid w:val="009B3CC8"/>
    <w:rsid w:val="009B4A12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0852"/>
    <w:rsid w:val="00A30CDA"/>
    <w:rsid w:val="00A32003"/>
    <w:rsid w:val="00A33C12"/>
    <w:rsid w:val="00A33DD3"/>
    <w:rsid w:val="00A36D18"/>
    <w:rsid w:val="00A37EAD"/>
    <w:rsid w:val="00A4047F"/>
    <w:rsid w:val="00A4320C"/>
    <w:rsid w:val="00A448EA"/>
    <w:rsid w:val="00A44D6E"/>
    <w:rsid w:val="00A4686D"/>
    <w:rsid w:val="00A528AD"/>
    <w:rsid w:val="00A52DAC"/>
    <w:rsid w:val="00A554EF"/>
    <w:rsid w:val="00A60956"/>
    <w:rsid w:val="00A6625C"/>
    <w:rsid w:val="00A700B9"/>
    <w:rsid w:val="00A87FCE"/>
    <w:rsid w:val="00A91B14"/>
    <w:rsid w:val="00A952B7"/>
    <w:rsid w:val="00AA170A"/>
    <w:rsid w:val="00AA202B"/>
    <w:rsid w:val="00AA3589"/>
    <w:rsid w:val="00AA3D32"/>
    <w:rsid w:val="00AB24EF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2A80"/>
    <w:rsid w:val="00AF6789"/>
    <w:rsid w:val="00B03B26"/>
    <w:rsid w:val="00B051BF"/>
    <w:rsid w:val="00B10F54"/>
    <w:rsid w:val="00B110AA"/>
    <w:rsid w:val="00B151C1"/>
    <w:rsid w:val="00B2077B"/>
    <w:rsid w:val="00B22FD0"/>
    <w:rsid w:val="00B32E98"/>
    <w:rsid w:val="00B33E9E"/>
    <w:rsid w:val="00B37516"/>
    <w:rsid w:val="00B43856"/>
    <w:rsid w:val="00B51281"/>
    <w:rsid w:val="00B514CA"/>
    <w:rsid w:val="00B51D77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D67C4"/>
    <w:rsid w:val="00BE29D2"/>
    <w:rsid w:val="00BE300D"/>
    <w:rsid w:val="00BE5A7A"/>
    <w:rsid w:val="00BF44AA"/>
    <w:rsid w:val="00BF5135"/>
    <w:rsid w:val="00C00EB2"/>
    <w:rsid w:val="00C057B8"/>
    <w:rsid w:val="00C110E1"/>
    <w:rsid w:val="00C13D94"/>
    <w:rsid w:val="00C16D1D"/>
    <w:rsid w:val="00C179D6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247B"/>
    <w:rsid w:val="00C62BCA"/>
    <w:rsid w:val="00C65ED7"/>
    <w:rsid w:val="00C71578"/>
    <w:rsid w:val="00C73BE2"/>
    <w:rsid w:val="00C7466D"/>
    <w:rsid w:val="00C76A48"/>
    <w:rsid w:val="00C86ECC"/>
    <w:rsid w:val="00C90658"/>
    <w:rsid w:val="00C9096B"/>
    <w:rsid w:val="00CA72D2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7EFC"/>
    <w:rsid w:val="00D17F7B"/>
    <w:rsid w:val="00D30792"/>
    <w:rsid w:val="00D31A99"/>
    <w:rsid w:val="00D325A6"/>
    <w:rsid w:val="00D33264"/>
    <w:rsid w:val="00D347F1"/>
    <w:rsid w:val="00D367BB"/>
    <w:rsid w:val="00D36D06"/>
    <w:rsid w:val="00D441EE"/>
    <w:rsid w:val="00D4449D"/>
    <w:rsid w:val="00D47E57"/>
    <w:rsid w:val="00D506C1"/>
    <w:rsid w:val="00D512D8"/>
    <w:rsid w:val="00D5326D"/>
    <w:rsid w:val="00D56289"/>
    <w:rsid w:val="00D575D8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DC6"/>
    <w:rsid w:val="00DA0E7D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A0FA7"/>
    <w:rsid w:val="00EA5499"/>
    <w:rsid w:val="00EB1200"/>
    <w:rsid w:val="00EB181F"/>
    <w:rsid w:val="00EB258D"/>
    <w:rsid w:val="00EB4BFF"/>
    <w:rsid w:val="00EC0AC1"/>
    <w:rsid w:val="00ED1961"/>
    <w:rsid w:val="00ED1D10"/>
    <w:rsid w:val="00EE136D"/>
    <w:rsid w:val="00EE3D87"/>
    <w:rsid w:val="00EE4D55"/>
    <w:rsid w:val="00EF3626"/>
    <w:rsid w:val="00EF429F"/>
    <w:rsid w:val="00EF613E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47EC4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1AB7"/>
    <w:rsid w:val="00FB2492"/>
    <w:rsid w:val="00FB6574"/>
    <w:rsid w:val="00FB6A50"/>
    <w:rsid w:val="00FC1598"/>
    <w:rsid w:val="00FC3ABC"/>
    <w:rsid w:val="00FD192E"/>
    <w:rsid w:val="00FD527D"/>
    <w:rsid w:val="00FD560D"/>
    <w:rsid w:val="00FD5705"/>
    <w:rsid w:val="00FE0ADB"/>
    <w:rsid w:val="00FE1E8A"/>
    <w:rsid w:val="00FE493E"/>
    <w:rsid w:val="00FE700C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73133-1D28-4256-8E6F-05B8718E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styleId="af5">
    <w:name w:val="page number"/>
    <w:basedOn w:val="a0"/>
    <w:rsid w:val="00B43856"/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81AB-5596-4880-83C7-E2C0DE93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36</Pages>
  <Words>7924</Words>
  <Characters>45170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52989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Пользователь Windows</cp:lastModifiedBy>
  <cp:revision>39</cp:revision>
  <cp:lastPrinted>2023-04-06T07:57:00Z</cp:lastPrinted>
  <dcterms:created xsi:type="dcterms:W3CDTF">2020-07-06T13:04:00Z</dcterms:created>
  <dcterms:modified xsi:type="dcterms:W3CDTF">2023-04-06T08:00:00Z</dcterms:modified>
</cp:coreProperties>
</file>