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C2" w:rsidRDefault="00C140C2" w:rsidP="00C140C2">
      <w:pPr>
        <w:tabs>
          <w:tab w:val="left" w:pos="4678"/>
        </w:tabs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ПРОЕКТ</w:t>
      </w:r>
    </w:p>
    <w:p w:rsidR="00C140C2" w:rsidRDefault="00C140C2" w:rsidP="00C140C2">
      <w:pPr>
        <w:tabs>
          <w:tab w:val="left" w:pos="4678"/>
        </w:tabs>
        <w:jc w:val="right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</w:t>
      </w:r>
      <w:r w:rsidR="00720664">
        <w:rPr>
          <w:sz w:val="28"/>
          <w:szCs w:val="28"/>
        </w:rPr>
        <w:t xml:space="preserve"> </w:t>
      </w:r>
      <w:r w:rsidR="00E00840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00840">
        <w:rPr>
          <w:sz w:val="28"/>
          <w:szCs w:val="28"/>
        </w:rPr>
        <w:t>_____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  <w:bookmarkStart w:id="0" w:name="_GoBack"/>
      <w:bookmarkEnd w:id="0"/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12CDA" w:rsidRDefault="00B12CDA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0840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E00840">
        <w:rPr>
          <w:sz w:val="28"/>
          <w:szCs w:val="28"/>
        </w:rPr>
        <w:t>_____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D5238C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192102" w:rsidRPr="00192102">
              <w:rPr>
                <w:sz w:val="28"/>
                <w:szCs w:val="28"/>
              </w:rPr>
              <w:t>;</w:t>
            </w:r>
          </w:p>
          <w:p w:rsidR="00803D3F" w:rsidRPr="00803D3F" w:rsidRDefault="00803D3F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изготовление наглядной агитации </w:t>
            </w:r>
            <w:r w:rsidRPr="00366677">
              <w:rPr>
                <w:sz w:val="28"/>
                <w:szCs w:val="28"/>
              </w:rPr>
              <w:lastRenderedPageBreak/>
              <w:t>(плакаты, буклеты, листовки);</w:t>
            </w:r>
          </w:p>
          <w:p w:rsidR="00AC6D00" w:rsidRPr="00366677" w:rsidRDefault="00803D3F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этно-</w:t>
            </w:r>
            <w:r w:rsidR="00AC6D00" w:rsidRPr="00366677">
              <w:rPr>
                <w:sz w:val="28"/>
                <w:szCs w:val="28"/>
              </w:rPr>
              <w:t>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745D71">
              <w:rPr>
                <w:sz w:val="28"/>
                <w:szCs w:val="28"/>
                <w:lang w:eastAsia="ru-RU"/>
              </w:rPr>
              <w:br/>
              <w:t>660,4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745D71">
              <w:rPr>
                <w:sz w:val="28"/>
                <w:szCs w:val="28"/>
                <w:lang w:eastAsia="ru-RU"/>
              </w:rPr>
              <w:t xml:space="preserve"> 660,4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3C8">
              <w:rPr>
                <w:sz w:val="28"/>
                <w:szCs w:val="28"/>
              </w:rPr>
              <w:t>23 год – 401,6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8D6867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237,8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745D71" w:rsidRPr="00873F6F" w:rsidRDefault="001D7BB6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A1929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6A1929">
              <w:rPr>
                <w:snapToGrid w:val="0"/>
                <w:sz w:val="28"/>
                <w:szCs w:val="28"/>
              </w:rPr>
              <w:t xml:space="preserve"> </w:t>
            </w:r>
            <w:r w:rsidR="00745D71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642,4 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</w:t>
            </w:r>
            <w:r w:rsidR="00E00840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ч</w:t>
            </w:r>
            <w:r w:rsidR="00E00840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745D71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местного бюджета– 642,4 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 год –15,0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2023 год – 395,6 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745D71" w:rsidRPr="00873F6F" w:rsidRDefault="00745D71" w:rsidP="00745D71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 год – 231,8</w:t>
            </w: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0B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0B1B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r w:rsidR="00E00840" w:rsidRPr="00203539">
        <w:rPr>
          <w:sz w:val="28"/>
          <w:szCs w:val="28"/>
        </w:rPr>
        <w:t>пожарной безопасности,</w:t>
      </w:r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Основными направлениями деятельности обеспечения пожарной </w:t>
      </w:r>
      <w:r w:rsidRPr="00203539">
        <w:rPr>
          <w:sz w:val="28"/>
          <w:szCs w:val="28"/>
        </w:rPr>
        <w:lastRenderedPageBreak/>
        <w:t>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E00840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E00840">
        <w:rPr>
          <w:b/>
          <w:sz w:val="28"/>
        </w:rPr>
        <w:t xml:space="preserve"> 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E00840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45341" w:rsidRPr="005C2807" w:rsidTr="004F0CB9">
        <w:tc>
          <w:tcPr>
            <w:tcW w:w="817" w:type="dxa"/>
            <w:shd w:val="clear" w:color="auto" w:fill="auto"/>
          </w:tcPr>
          <w:p w:rsidR="00E45341" w:rsidRDefault="00E4534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45341" w:rsidRPr="00F70364" w:rsidRDefault="00E45341" w:rsidP="00E008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</w:tcPr>
          <w:p w:rsidR="00E45341" w:rsidRDefault="00E45341" w:rsidP="004F0CB9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E45341" w:rsidRDefault="00E45341" w:rsidP="004F0C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="005079F7" w:rsidRPr="00366677">
              <w:rPr>
                <w:sz w:val="28"/>
                <w:szCs w:val="28"/>
              </w:rPr>
              <w:lastRenderedPageBreak/>
              <w:t>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094"/>
        <w:gridCol w:w="2211"/>
        <w:gridCol w:w="2281"/>
        <w:gridCol w:w="776"/>
        <w:gridCol w:w="846"/>
        <w:gridCol w:w="84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FB5B1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A297F">
              <w:rPr>
                <w:sz w:val="28"/>
              </w:rPr>
              <w:t>42,4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395,6</w:t>
            </w:r>
          </w:p>
        </w:tc>
        <w:tc>
          <w:tcPr>
            <w:tcW w:w="776" w:type="dxa"/>
            <w:vAlign w:val="center"/>
          </w:tcPr>
          <w:p w:rsidR="009D3F6D" w:rsidRDefault="002A297F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231,8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2A297F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660,4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401,6</w:t>
            </w:r>
          </w:p>
        </w:tc>
        <w:tc>
          <w:tcPr>
            <w:tcW w:w="776" w:type="dxa"/>
            <w:vAlign w:val="center"/>
          </w:tcPr>
          <w:p w:rsidR="009D3F6D" w:rsidRDefault="004D7A2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A297F">
              <w:rPr>
                <w:sz w:val="28"/>
              </w:rPr>
              <w:t>37,8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1B528D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</w:t>
      </w:r>
      <w:r w:rsidR="0095391F">
        <w:rPr>
          <w:sz w:val="28"/>
          <w:szCs w:val="28"/>
        </w:rPr>
        <w:t xml:space="preserve"> </w:t>
      </w:r>
      <w:r w:rsidR="00B43856" w:rsidRPr="00366677">
        <w:rPr>
          <w:sz w:val="28"/>
          <w:szCs w:val="28"/>
        </w:rPr>
        <w:t>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4D7A29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материальных ресурсов для ликвидации 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932C86">
              <w:rPr>
                <w:rFonts w:eastAsia="Batang"/>
                <w:color w:val="000000"/>
                <w:sz w:val="28"/>
                <w:szCs w:val="28"/>
                <w:lang w:eastAsia="ko-KR"/>
              </w:rPr>
              <w:t>642,4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</w:t>
            </w:r>
            <w:r w:rsidR="00E00840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932C8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естного бюджета– 642,4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395,6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932C8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231,8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>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E00840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E00840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C94186" w:rsidRPr="009F19E4" w:rsidTr="00F70364">
        <w:tc>
          <w:tcPr>
            <w:tcW w:w="817" w:type="dxa"/>
            <w:shd w:val="clear" w:color="auto" w:fill="auto"/>
          </w:tcPr>
          <w:p w:rsidR="00C94186" w:rsidRDefault="00C9418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4186" w:rsidRPr="00F70364" w:rsidRDefault="00697EED" w:rsidP="00ED151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  <w:r w:rsidR="004936CD">
              <w:rPr>
                <w:sz w:val="28"/>
                <w:szCs w:val="28"/>
                <w:lang w:eastAsia="ru-RU"/>
              </w:rPr>
              <w:t xml:space="preserve"> приобретенных </w:t>
            </w:r>
            <w:r w:rsidR="00E00840">
              <w:rPr>
                <w:sz w:val="28"/>
                <w:szCs w:val="28"/>
                <w:lang w:eastAsia="ru-RU"/>
              </w:rPr>
              <w:t>и установленных</w:t>
            </w:r>
            <w:r w:rsidR="004936CD">
              <w:rPr>
                <w:sz w:val="28"/>
                <w:szCs w:val="28"/>
                <w:lang w:eastAsia="ru-RU"/>
              </w:rPr>
              <w:t xml:space="preserve"> автономных дымовых пожарных</w:t>
            </w:r>
            <w:r>
              <w:rPr>
                <w:sz w:val="28"/>
                <w:szCs w:val="28"/>
                <w:lang w:eastAsia="ru-RU"/>
              </w:rPr>
              <w:t xml:space="preserve"> извещателей </w:t>
            </w:r>
            <w:r w:rsidR="00ED1514" w:rsidRPr="00ED1514">
              <w:rPr>
                <w:sz w:val="28"/>
                <w:szCs w:val="28"/>
              </w:rPr>
              <w:t xml:space="preserve">в жилых помещениях, в </w:t>
            </w:r>
            <w:r w:rsidR="00ED1514" w:rsidRPr="00ED1514">
              <w:rPr>
                <w:sz w:val="28"/>
                <w:szCs w:val="28"/>
              </w:rPr>
              <w:lastRenderedPageBreak/>
              <w:t>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C94186" w:rsidRDefault="00ED151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шт</w:t>
            </w:r>
          </w:p>
        </w:tc>
        <w:tc>
          <w:tcPr>
            <w:tcW w:w="1133" w:type="dxa"/>
            <w:shd w:val="clear" w:color="auto" w:fill="auto"/>
          </w:tcPr>
          <w:p w:rsidR="00C94186" w:rsidRDefault="00ED151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4186" w:rsidRDefault="00DA4DF7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A4DF7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szCs w:val="28"/>
          <w:lang w:eastAsia="ko-KR"/>
        </w:rPr>
        <w:lastRenderedPageBreak/>
        <w:tab/>
      </w:r>
    </w:p>
    <w:p w:rsidR="009F19E4" w:rsidRPr="009F19E4" w:rsidRDefault="00DA4DF7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eastAsia="Batang"/>
          <w:sz w:val="28"/>
          <w:szCs w:val="28"/>
          <w:lang w:eastAsia="ko-KR"/>
        </w:rPr>
        <w:t xml:space="preserve">            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211"/>
        <w:gridCol w:w="2281"/>
        <w:gridCol w:w="820"/>
        <w:gridCol w:w="846"/>
        <w:gridCol w:w="846"/>
      </w:tblGrid>
      <w:tr w:rsidR="009F19E4" w:rsidRPr="009F19E4" w:rsidTr="005D5956">
        <w:tc>
          <w:tcPr>
            <w:tcW w:w="2389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512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5D5956">
        <w:tc>
          <w:tcPr>
            <w:tcW w:w="2389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2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46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E00840">
        <w:tc>
          <w:tcPr>
            <w:tcW w:w="2389" w:type="dxa"/>
            <w:tcBorders>
              <w:bottom w:val="single" w:sz="4" w:space="0" w:color="auto"/>
            </w:tcBorders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0527BD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82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46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9F19E4" w:rsidRPr="009F19E4" w:rsidRDefault="000527BD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</w:tr>
      <w:tr w:rsidR="005D5956" w:rsidRPr="009F19E4" w:rsidTr="00E00840">
        <w:tc>
          <w:tcPr>
            <w:tcW w:w="2389" w:type="dxa"/>
            <w:tcBorders>
              <w:bottom w:val="single" w:sz="4" w:space="0" w:color="auto"/>
            </w:tcBorders>
          </w:tcPr>
          <w:p w:rsidR="005D5956" w:rsidRPr="009F19E4" w:rsidRDefault="005D5956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5D5956" w:rsidRPr="009F19E4" w:rsidRDefault="005D595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0527BD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820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46" w:type="dxa"/>
            <w:vAlign w:val="center"/>
          </w:tcPr>
          <w:p w:rsidR="005D5956" w:rsidRPr="009F19E4" w:rsidRDefault="005D5956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46" w:type="dxa"/>
            <w:vAlign w:val="center"/>
          </w:tcPr>
          <w:p w:rsidR="005D5956" w:rsidRPr="009F19E4" w:rsidRDefault="000527BD" w:rsidP="0072066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251ECA">
        <w:rPr>
          <w:sz w:val="28"/>
        </w:rPr>
        <w:t xml:space="preserve">                                                                </w:t>
      </w:r>
      <w:r w:rsidRPr="009F19E4">
        <w:rPr>
          <w:sz w:val="28"/>
        </w:rPr>
        <w:t xml:space="preserve">Мероприятия муниципальной </w:t>
      </w:r>
      <w:r w:rsidR="000555FB">
        <w:rPr>
          <w:sz w:val="28"/>
        </w:rPr>
        <w:t>под</w:t>
      </w:r>
      <w:r w:rsidRPr="009F19E4">
        <w:rPr>
          <w:sz w:val="28"/>
        </w:rPr>
        <w:t>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F19E4" w:rsidRPr="009F19E4" w:rsidRDefault="009F19E4" w:rsidP="00793F68">
            <w:pPr>
              <w:widowControl w:val="0"/>
              <w:autoSpaceDE w:val="0"/>
              <w:autoSpaceDN w:val="0"/>
              <w:adjustRightInd w:val="0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B25D04" w:rsidRPr="009F19E4" w:rsidTr="00B53E11">
        <w:trPr>
          <w:trHeight w:val="5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E29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Pr="00C9096B">
              <w:rPr>
                <w:lang w:eastAsia="ru-RU"/>
              </w:rPr>
              <w:t>;</w:t>
            </w:r>
          </w:p>
          <w:p w:rsidR="00B25D04" w:rsidRP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</w:rPr>
              <w:t>снижение рисков пожаров и смягчение возможных их последствий;</w:t>
            </w:r>
          </w:p>
          <w:p w:rsidR="00B25D04" w:rsidRPr="009F19E4" w:rsidRDefault="00B25D04" w:rsidP="00B25D04">
            <w:pPr>
              <w:widowControl w:val="0"/>
              <w:autoSpaceDE w:val="0"/>
              <w:autoSpaceDN w:val="0"/>
              <w:adjustRightInd w:val="0"/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63AB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562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557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5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Мероприятия по обеспечению пожарной безопасности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7AE2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220,8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698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415880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1B67AF">
              <w:rPr>
                <w:rFonts w:eastAsia="Batang"/>
                <w:sz w:val="28"/>
                <w:lang w:eastAsia="ko-KR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1B67AF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220,8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425DC2" w:rsidRDefault="00425DC2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F00B14" w:rsidRPr="00425DC2" w:rsidRDefault="000555FB" w:rsidP="00425DC2">
            <w:r>
              <w:t>3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00B14" w:rsidRPr="00E954A9" w:rsidRDefault="00F00B14" w:rsidP="005F635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00B14" w:rsidRPr="009F19E4" w:rsidRDefault="00FA7033" w:rsidP="00FA70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r w:rsidR="00425DC2" w:rsidRPr="00E954A9">
              <w:t>автономных дымовых пожарных извещателей</w:t>
            </w:r>
            <w:r w:rsidR="00425DC2">
              <w:t xml:space="preserve"> – 190 шт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0B14" w:rsidRPr="009F19E4" w:rsidRDefault="00F00B14" w:rsidP="00F00B14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E954A9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Итого по</w:t>
            </w:r>
            <w:r w:rsidR="00430DCD">
              <w:t xml:space="preserve"> под</w:t>
            </w:r>
            <w:r w:rsidRPr="00E954A9">
              <w:t>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A318B3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15880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6</w:t>
            </w:r>
            <w:r w:rsidR="00A318B3">
              <w:rPr>
                <w:rFonts w:eastAsia="Batang"/>
                <w:sz w:val="28"/>
                <w:lang w:eastAsia="ko-KR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1B67A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231,8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</w:t>
      </w:r>
      <w:r>
        <w:rPr>
          <w:rFonts w:eastAsiaTheme="minorEastAsia"/>
          <w:sz w:val="28"/>
          <w:szCs w:val="28"/>
        </w:rPr>
        <w:lastRenderedPageBreak/>
        <w:t xml:space="preserve">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418"/>
        <w:gridCol w:w="1275"/>
        <w:gridCol w:w="2269"/>
        <w:gridCol w:w="2410"/>
        <w:gridCol w:w="2975"/>
      </w:tblGrid>
      <w:tr w:rsidR="00171A39" w:rsidTr="00AA32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AA32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AA326C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rFonts w:eastAsia="Arial"/>
                <w:sz w:val="28"/>
                <w:szCs w:val="28"/>
              </w:rPr>
              <w:lastRenderedPageBreak/>
              <w:t>Новоджерелиевского сельского поселения антикоррупционных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85547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171A39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</w:t>
            </w: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B75AF" w:rsidRDefault="00171A39" w:rsidP="005B75AF">
      <w:pPr>
        <w:rPr>
          <w:sz w:val="28"/>
          <w:szCs w:val="28"/>
        </w:rPr>
        <w:sectPr w:rsidR="00171A39" w:rsidRPr="005B75AF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B75AF">
        <w:rPr>
          <w:rFonts w:eastAsia="Batang"/>
          <w:sz w:val="28"/>
          <w:lang w:eastAsia="ko-KR"/>
        </w:rPr>
        <w:t>на</w:t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  <w:t>В.А. Герасименко</w:t>
      </w:r>
    </w:p>
    <w:p w:rsidR="00271050" w:rsidRPr="00271050" w:rsidRDefault="005B75AF" w:rsidP="005B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13D94">
        <w:rPr>
          <w:sz w:val="28"/>
          <w:szCs w:val="28"/>
        </w:rPr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E0084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086C39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8D" w:rsidRDefault="001B528D" w:rsidP="00F47E9C">
      <w:r>
        <w:separator/>
      </w:r>
    </w:p>
  </w:endnote>
  <w:endnote w:type="continuationSeparator" w:id="0">
    <w:p w:rsidR="001B528D" w:rsidRDefault="001B528D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8D" w:rsidRDefault="001B528D" w:rsidP="00F47E9C">
      <w:r>
        <w:separator/>
      </w:r>
    </w:p>
  </w:footnote>
  <w:footnote w:type="continuationSeparator" w:id="0">
    <w:p w:rsidR="001B528D" w:rsidRDefault="001B528D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F" w:rsidRDefault="002A29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351"/>
    <w:rsid w:val="00051C5D"/>
    <w:rsid w:val="000525C4"/>
    <w:rsid w:val="000527BD"/>
    <w:rsid w:val="000535B0"/>
    <w:rsid w:val="000555FB"/>
    <w:rsid w:val="0005757E"/>
    <w:rsid w:val="0006058F"/>
    <w:rsid w:val="00060636"/>
    <w:rsid w:val="00061A80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86C39"/>
    <w:rsid w:val="0009560A"/>
    <w:rsid w:val="00097CA8"/>
    <w:rsid w:val="000A2501"/>
    <w:rsid w:val="000A27F9"/>
    <w:rsid w:val="000A2B61"/>
    <w:rsid w:val="000A3700"/>
    <w:rsid w:val="000B1BF8"/>
    <w:rsid w:val="000B1C11"/>
    <w:rsid w:val="000B3169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102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28D"/>
    <w:rsid w:val="001B5B1C"/>
    <w:rsid w:val="001B67AF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515F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1ECA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A297F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2F0C55"/>
    <w:rsid w:val="002F737B"/>
    <w:rsid w:val="0030409F"/>
    <w:rsid w:val="003075F9"/>
    <w:rsid w:val="003140DF"/>
    <w:rsid w:val="00315CF8"/>
    <w:rsid w:val="00323683"/>
    <w:rsid w:val="003263EF"/>
    <w:rsid w:val="003328C4"/>
    <w:rsid w:val="003344AF"/>
    <w:rsid w:val="00344CC2"/>
    <w:rsid w:val="0035589A"/>
    <w:rsid w:val="00363489"/>
    <w:rsid w:val="003638BC"/>
    <w:rsid w:val="00364547"/>
    <w:rsid w:val="00366677"/>
    <w:rsid w:val="00366E86"/>
    <w:rsid w:val="00367334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0074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5880"/>
    <w:rsid w:val="0041761C"/>
    <w:rsid w:val="00423D49"/>
    <w:rsid w:val="00425DC2"/>
    <w:rsid w:val="00430DCD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467B"/>
    <w:rsid w:val="00486BF1"/>
    <w:rsid w:val="00490077"/>
    <w:rsid w:val="004928D7"/>
    <w:rsid w:val="004931AA"/>
    <w:rsid w:val="004936CD"/>
    <w:rsid w:val="004A549A"/>
    <w:rsid w:val="004B04C3"/>
    <w:rsid w:val="004B2582"/>
    <w:rsid w:val="004B3970"/>
    <w:rsid w:val="004B4B9C"/>
    <w:rsid w:val="004B5354"/>
    <w:rsid w:val="004B7BF0"/>
    <w:rsid w:val="004C5149"/>
    <w:rsid w:val="004C7F42"/>
    <w:rsid w:val="004D0585"/>
    <w:rsid w:val="004D1F41"/>
    <w:rsid w:val="004D45E8"/>
    <w:rsid w:val="004D4A39"/>
    <w:rsid w:val="004D7351"/>
    <w:rsid w:val="004D7A29"/>
    <w:rsid w:val="004E77FC"/>
    <w:rsid w:val="004F0CB9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77AEE"/>
    <w:rsid w:val="00582C07"/>
    <w:rsid w:val="005833A9"/>
    <w:rsid w:val="00585409"/>
    <w:rsid w:val="00585F64"/>
    <w:rsid w:val="00587280"/>
    <w:rsid w:val="00592C9D"/>
    <w:rsid w:val="00594C7B"/>
    <w:rsid w:val="00596DEF"/>
    <w:rsid w:val="005A095D"/>
    <w:rsid w:val="005A2923"/>
    <w:rsid w:val="005A575B"/>
    <w:rsid w:val="005A65F7"/>
    <w:rsid w:val="005A67E6"/>
    <w:rsid w:val="005A70E2"/>
    <w:rsid w:val="005B07B1"/>
    <w:rsid w:val="005B55DD"/>
    <w:rsid w:val="005B75AF"/>
    <w:rsid w:val="005B7D6F"/>
    <w:rsid w:val="005C1888"/>
    <w:rsid w:val="005C1A8B"/>
    <w:rsid w:val="005C4E5E"/>
    <w:rsid w:val="005C6FDD"/>
    <w:rsid w:val="005D019D"/>
    <w:rsid w:val="005D105C"/>
    <w:rsid w:val="005D4CC9"/>
    <w:rsid w:val="005D5956"/>
    <w:rsid w:val="005E652E"/>
    <w:rsid w:val="005E76AC"/>
    <w:rsid w:val="005F093C"/>
    <w:rsid w:val="005F340F"/>
    <w:rsid w:val="005F4AD4"/>
    <w:rsid w:val="005F5A60"/>
    <w:rsid w:val="005F635E"/>
    <w:rsid w:val="005F685D"/>
    <w:rsid w:val="005F778B"/>
    <w:rsid w:val="0060190A"/>
    <w:rsid w:val="0060587E"/>
    <w:rsid w:val="0061374E"/>
    <w:rsid w:val="00627EA1"/>
    <w:rsid w:val="00631CF1"/>
    <w:rsid w:val="00632A48"/>
    <w:rsid w:val="0063507E"/>
    <w:rsid w:val="006401FA"/>
    <w:rsid w:val="00640DFA"/>
    <w:rsid w:val="00645D25"/>
    <w:rsid w:val="00646177"/>
    <w:rsid w:val="00650207"/>
    <w:rsid w:val="00651C66"/>
    <w:rsid w:val="00653EA9"/>
    <w:rsid w:val="006542AE"/>
    <w:rsid w:val="006553AB"/>
    <w:rsid w:val="00656955"/>
    <w:rsid w:val="006743EF"/>
    <w:rsid w:val="00674846"/>
    <w:rsid w:val="00675F17"/>
    <w:rsid w:val="00675F41"/>
    <w:rsid w:val="00676E89"/>
    <w:rsid w:val="0068412D"/>
    <w:rsid w:val="00684C47"/>
    <w:rsid w:val="006878CB"/>
    <w:rsid w:val="006969A9"/>
    <w:rsid w:val="00697EED"/>
    <w:rsid w:val="006A1929"/>
    <w:rsid w:val="006A43C5"/>
    <w:rsid w:val="006A4725"/>
    <w:rsid w:val="006A6338"/>
    <w:rsid w:val="006A69C0"/>
    <w:rsid w:val="006A7117"/>
    <w:rsid w:val="006B5331"/>
    <w:rsid w:val="006B620B"/>
    <w:rsid w:val="006C13E0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5B7B"/>
    <w:rsid w:val="006F6F4D"/>
    <w:rsid w:val="006F7057"/>
    <w:rsid w:val="006F78CE"/>
    <w:rsid w:val="00702683"/>
    <w:rsid w:val="00707AE2"/>
    <w:rsid w:val="00716534"/>
    <w:rsid w:val="00716E03"/>
    <w:rsid w:val="00717A8B"/>
    <w:rsid w:val="00720664"/>
    <w:rsid w:val="007213C0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45D71"/>
    <w:rsid w:val="00750578"/>
    <w:rsid w:val="00752E3B"/>
    <w:rsid w:val="00754783"/>
    <w:rsid w:val="00756025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3F6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E5977"/>
    <w:rsid w:val="007F77C4"/>
    <w:rsid w:val="007F7D33"/>
    <w:rsid w:val="008036E5"/>
    <w:rsid w:val="00803D3F"/>
    <w:rsid w:val="0080742F"/>
    <w:rsid w:val="00810108"/>
    <w:rsid w:val="0081256F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471"/>
    <w:rsid w:val="0085589F"/>
    <w:rsid w:val="008607D5"/>
    <w:rsid w:val="008623C8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21CB"/>
    <w:rsid w:val="00896AB2"/>
    <w:rsid w:val="008A09C7"/>
    <w:rsid w:val="008A15C0"/>
    <w:rsid w:val="008A7621"/>
    <w:rsid w:val="008B0681"/>
    <w:rsid w:val="008B418C"/>
    <w:rsid w:val="008B5102"/>
    <w:rsid w:val="008C0564"/>
    <w:rsid w:val="008C191A"/>
    <w:rsid w:val="008C1A48"/>
    <w:rsid w:val="008D2D67"/>
    <w:rsid w:val="008D3414"/>
    <w:rsid w:val="008D3F76"/>
    <w:rsid w:val="008D6867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2C86"/>
    <w:rsid w:val="0093651C"/>
    <w:rsid w:val="0094190C"/>
    <w:rsid w:val="0094430A"/>
    <w:rsid w:val="0094491B"/>
    <w:rsid w:val="00950A0D"/>
    <w:rsid w:val="0095163E"/>
    <w:rsid w:val="0095391F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B4A12"/>
    <w:rsid w:val="009C2425"/>
    <w:rsid w:val="009C7709"/>
    <w:rsid w:val="009D2F9D"/>
    <w:rsid w:val="009D3F6D"/>
    <w:rsid w:val="009D4E8D"/>
    <w:rsid w:val="009E22CE"/>
    <w:rsid w:val="009E2440"/>
    <w:rsid w:val="009E29D6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6B54"/>
    <w:rsid w:val="00A07A70"/>
    <w:rsid w:val="00A14AB9"/>
    <w:rsid w:val="00A2122C"/>
    <w:rsid w:val="00A21A50"/>
    <w:rsid w:val="00A21E55"/>
    <w:rsid w:val="00A266EA"/>
    <w:rsid w:val="00A3058E"/>
    <w:rsid w:val="00A318B3"/>
    <w:rsid w:val="00A32003"/>
    <w:rsid w:val="00A33C12"/>
    <w:rsid w:val="00A33DD3"/>
    <w:rsid w:val="00A36D18"/>
    <w:rsid w:val="00A37EAD"/>
    <w:rsid w:val="00A4047F"/>
    <w:rsid w:val="00A4320C"/>
    <w:rsid w:val="00A438F5"/>
    <w:rsid w:val="00A44043"/>
    <w:rsid w:val="00A448EA"/>
    <w:rsid w:val="00A44D6E"/>
    <w:rsid w:val="00A4686D"/>
    <w:rsid w:val="00A52DAC"/>
    <w:rsid w:val="00A554EF"/>
    <w:rsid w:val="00A57CB4"/>
    <w:rsid w:val="00A60956"/>
    <w:rsid w:val="00A6625C"/>
    <w:rsid w:val="00A700B9"/>
    <w:rsid w:val="00A778EE"/>
    <w:rsid w:val="00A87FCE"/>
    <w:rsid w:val="00A91B14"/>
    <w:rsid w:val="00A948D6"/>
    <w:rsid w:val="00A952B7"/>
    <w:rsid w:val="00AA170A"/>
    <w:rsid w:val="00AA202B"/>
    <w:rsid w:val="00AA326C"/>
    <w:rsid w:val="00AA3589"/>
    <w:rsid w:val="00AA3D32"/>
    <w:rsid w:val="00AB4710"/>
    <w:rsid w:val="00AB4D2D"/>
    <w:rsid w:val="00AB54A6"/>
    <w:rsid w:val="00AB73D7"/>
    <w:rsid w:val="00AB73DB"/>
    <w:rsid w:val="00AC6CC5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1582"/>
    <w:rsid w:val="00B12CDA"/>
    <w:rsid w:val="00B151C1"/>
    <w:rsid w:val="00B2077B"/>
    <w:rsid w:val="00B22FD0"/>
    <w:rsid w:val="00B25D04"/>
    <w:rsid w:val="00B32E98"/>
    <w:rsid w:val="00B33E9E"/>
    <w:rsid w:val="00B37516"/>
    <w:rsid w:val="00B43856"/>
    <w:rsid w:val="00B50B2F"/>
    <w:rsid w:val="00B51281"/>
    <w:rsid w:val="00B514CA"/>
    <w:rsid w:val="00B51D77"/>
    <w:rsid w:val="00B52648"/>
    <w:rsid w:val="00B53E11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BF5CD9"/>
    <w:rsid w:val="00C00EB2"/>
    <w:rsid w:val="00C05A7D"/>
    <w:rsid w:val="00C110E1"/>
    <w:rsid w:val="00C13D94"/>
    <w:rsid w:val="00C140C2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068F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94186"/>
    <w:rsid w:val="00CA3C58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5A16"/>
    <w:rsid w:val="00D17EFC"/>
    <w:rsid w:val="00D17F7B"/>
    <w:rsid w:val="00D24BF8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238C"/>
    <w:rsid w:val="00D52B4E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3AB"/>
    <w:rsid w:val="00D96AF4"/>
    <w:rsid w:val="00D96DC6"/>
    <w:rsid w:val="00D97AE2"/>
    <w:rsid w:val="00DA0E7D"/>
    <w:rsid w:val="00DA3DAD"/>
    <w:rsid w:val="00DA4DF7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E5CB7"/>
    <w:rsid w:val="00DF1A36"/>
    <w:rsid w:val="00DF2868"/>
    <w:rsid w:val="00DF5AB5"/>
    <w:rsid w:val="00DF6BA4"/>
    <w:rsid w:val="00E00840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23534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45341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954A9"/>
    <w:rsid w:val="00EA5499"/>
    <w:rsid w:val="00EB1200"/>
    <w:rsid w:val="00EB181F"/>
    <w:rsid w:val="00EB258D"/>
    <w:rsid w:val="00EB4BFF"/>
    <w:rsid w:val="00EC0AC1"/>
    <w:rsid w:val="00ED1514"/>
    <w:rsid w:val="00ED1961"/>
    <w:rsid w:val="00ED1D10"/>
    <w:rsid w:val="00EE136D"/>
    <w:rsid w:val="00EE4D55"/>
    <w:rsid w:val="00EF3626"/>
    <w:rsid w:val="00EF429F"/>
    <w:rsid w:val="00EF613E"/>
    <w:rsid w:val="00F00B14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7033"/>
    <w:rsid w:val="00FB2492"/>
    <w:rsid w:val="00FB5B14"/>
    <w:rsid w:val="00FB6574"/>
    <w:rsid w:val="00FB6A50"/>
    <w:rsid w:val="00FC1598"/>
    <w:rsid w:val="00FC3ABC"/>
    <w:rsid w:val="00FD192E"/>
    <w:rsid w:val="00FD527D"/>
    <w:rsid w:val="00FD560D"/>
    <w:rsid w:val="00FD5705"/>
    <w:rsid w:val="00FD57F6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E1525E-0A77-4B79-9FF8-D644F7E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F99A-EB23-4EE7-8AC9-4F0D2EF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55</cp:revision>
  <cp:lastPrinted>2023-10-27T12:24:00Z</cp:lastPrinted>
  <dcterms:created xsi:type="dcterms:W3CDTF">2020-07-06T13:04:00Z</dcterms:created>
  <dcterms:modified xsi:type="dcterms:W3CDTF">2024-05-17T09:55:00Z</dcterms:modified>
</cp:coreProperties>
</file>